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92" w:rsidRPr="007020C2" w:rsidRDefault="00BF3992" w:rsidP="00C73645">
      <w:pPr>
        <w:spacing w:after="0"/>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Утвержден</w:t>
      </w:r>
      <w:r w:rsidR="00C73645" w:rsidRPr="007020C2">
        <w:rPr>
          <w:rFonts w:ascii="Times New Roman" w:eastAsia="Times New Roman" w:hAnsi="Times New Roman" w:cs="Times New Roman"/>
          <w:sz w:val="24"/>
          <w:szCs w:val="24"/>
          <w:lang w:eastAsia="ru-RU"/>
        </w:rPr>
        <w:t>ы</w:t>
      </w:r>
    </w:p>
    <w:p w:rsidR="00BF3992" w:rsidRPr="007020C2" w:rsidRDefault="00BF3992" w:rsidP="00C73645">
      <w:pPr>
        <w:spacing w:after="0"/>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решением Совета депутатов</w:t>
      </w:r>
    </w:p>
    <w:p w:rsidR="00BF3992" w:rsidRPr="007020C2" w:rsidRDefault="00BF3992" w:rsidP="00C73645">
      <w:pPr>
        <w:spacing w:after="0"/>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Богородского городского округа</w:t>
      </w:r>
    </w:p>
    <w:p w:rsidR="00BF3992" w:rsidRPr="007020C2" w:rsidRDefault="00D2344C" w:rsidP="00C73645">
      <w:pPr>
        <w:spacing w:after="0"/>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24.12.2019</w:t>
      </w:r>
      <w:r w:rsidR="00BF3992" w:rsidRPr="007020C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302</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p>
    <w:p w:rsidR="00D54D1B" w:rsidRPr="007020C2" w:rsidRDefault="00F639AF" w:rsidP="00D54D1B">
      <w:pPr>
        <w:pStyle w:val="a3"/>
        <w:spacing w:before="0" w:beforeAutospacing="0" w:after="0" w:afterAutospacing="0" w:line="276" w:lineRule="auto"/>
        <w:jc w:val="center"/>
        <w:textAlignment w:val="baseline"/>
        <w:rPr>
          <w:b/>
          <w:bCs/>
          <w:bdr w:val="none" w:sz="0" w:space="0" w:color="auto" w:frame="1"/>
        </w:rPr>
      </w:pPr>
      <w:r w:rsidRPr="007020C2">
        <w:rPr>
          <w:b/>
          <w:bCs/>
          <w:bdr w:val="none" w:sz="0" w:space="0" w:color="auto" w:frame="1"/>
        </w:rPr>
        <w:t>Местные нормативы градостроительного проектирования </w:t>
      </w:r>
    </w:p>
    <w:p w:rsidR="00F639AF" w:rsidRPr="007020C2" w:rsidRDefault="00F639AF" w:rsidP="00D54D1B">
      <w:pPr>
        <w:pStyle w:val="a3"/>
        <w:spacing w:before="0" w:beforeAutospacing="0" w:after="0" w:afterAutospacing="0" w:line="276" w:lineRule="auto"/>
        <w:jc w:val="center"/>
        <w:textAlignment w:val="baseline"/>
      </w:pPr>
      <w:r w:rsidRPr="007020C2">
        <w:rPr>
          <w:b/>
          <w:bCs/>
          <w:bdr w:val="none" w:sz="0" w:space="0" w:color="auto" w:frame="1"/>
        </w:rPr>
        <w:t>Богородского городского округа Московской области</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p w:rsidR="00F639AF" w:rsidRPr="007020C2" w:rsidRDefault="00F639AF" w:rsidP="00D54D1B">
      <w:pPr>
        <w:numPr>
          <w:ilvl w:val="0"/>
          <w:numId w:val="8"/>
        </w:numPr>
        <w:spacing w:after="0"/>
        <w:ind w:left="0" w:firstLine="0"/>
        <w:jc w:val="center"/>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Общие положения</w:t>
      </w:r>
    </w:p>
    <w:p w:rsidR="00F639AF" w:rsidRPr="007020C2" w:rsidRDefault="00F639AF" w:rsidP="00D54D1B">
      <w:pPr>
        <w:spacing w:after="0"/>
        <w:jc w:val="center"/>
        <w:textAlignment w:val="baseline"/>
        <w:rPr>
          <w:rFonts w:ascii="Times New Roman" w:eastAsia="Times New Roman" w:hAnsi="Times New Roman" w:cs="Times New Roman"/>
          <w:sz w:val="24"/>
          <w:szCs w:val="24"/>
          <w:lang w:eastAsia="ru-RU"/>
        </w:rPr>
      </w:pP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1.1.</w:t>
      </w:r>
      <w:r w:rsidR="00D54D1B" w:rsidRPr="007020C2">
        <w:rPr>
          <w:rFonts w:ascii="Times New Roman" w:eastAsia="Times New Roman" w:hAnsi="Times New Roman" w:cs="Times New Roman"/>
          <w:sz w:val="24"/>
          <w:szCs w:val="24"/>
          <w:lang w:eastAsia="ru-RU"/>
        </w:rPr>
        <w:t> </w:t>
      </w:r>
      <w:r w:rsidRPr="007020C2">
        <w:rPr>
          <w:rFonts w:ascii="Times New Roman" w:eastAsia="Times New Roman" w:hAnsi="Times New Roman" w:cs="Times New Roman"/>
          <w:sz w:val="24"/>
          <w:szCs w:val="24"/>
          <w:lang w:eastAsia="ru-RU"/>
        </w:rPr>
        <w:t>В местных нормативах градостроительного проектирования Богородского городского округа Московской области (далее – местные нормативы) используются следующие основные понятия:</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благоустройство территории городского округа – комплекс предусмотренных правилами благоустройства территории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блокированные жилые дома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индивидуальный выход на территорию общего пользования;</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граница населенного пункта – граница, отделяющая земли населенных пунктов (земли, используемые и предназначенные для застройки и развития населенных пунктов) от земель иных категорий;</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жилой 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F0190B">
        <w:rPr>
          <w:rFonts w:ascii="Times New Roman" w:eastAsia="Times New Roman" w:hAnsi="Times New Roman" w:cs="Times New Roman"/>
          <w:sz w:val="24"/>
          <w:szCs w:val="24"/>
          <w:lang w:eastAsia="ru-RU"/>
        </w:rPr>
        <w:t>жилой район</w:t>
      </w:r>
      <w:r w:rsidRPr="007020C2">
        <w:rPr>
          <w:rFonts w:ascii="Times New Roman" w:eastAsia="Times New Roman" w:hAnsi="Times New Roman" w:cs="Times New Roman"/>
          <w:sz w:val="24"/>
          <w:szCs w:val="24"/>
          <w:lang w:eastAsia="ru-RU"/>
        </w:rPr>
        <w:t xml:space="preserve"> – жилая территория </w:t>
      </w:r>
      <w:r w:rsidR="00F0190B">
        <w:rPr>
          <w:rFonts w:ascii="Times New Roman" w:eastAsia="Times New Roman" w:hAnsi="Times New Roman" w:cs="Times New Roman"/>
          <w:sz w:val="24"/>
          <w:szCs w:val="24"/>
          <w:lang w:eastAsia="ru-RU"/>
        </w:rPr>
        <w:t>населённого пункта</w:t>
      </w:r>
      <w:r w:rsidRPr="00F0190B">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формирующаяся как группа кварталов, обладающая признаками целостности, ограниченная магистральными улицами, естественными и искусственными рубежами, на которой размещаются жилые дома, объекты социального, коммунально</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торговли, общественного питания, объекты здравоохранения, дошкольного образования, общего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F0190B">
        <w:rPr>
          <w:rFonts w:ascii="Times New Roman" w:eastAsia="Times New Roman" w:hAnsi="Times New Roman" w:cs="Times New Roman"/>
          <w:sz w:val="24"/>
          <w:szCs w:val="24"/>
          <w:lang w:eastAsia="ru-RU"/>
        </w:rPr>
        <w:t>здание</w:t>
      </w:r>
      <w:r w:rsidRPr="007020C2">
        <w:rPr>
          <w:rFonts w:ascii="Times New Roman" w:eastAsia="Times New Roman" w:hAnsi="Times New Roman" w:cs="Times New Roman"/>
          <w:sz w:val="24"/>
          <w:szCs w:val="24"/>
          <w:lang w:eastAsia="ru-RU"/>
        </w:rPr>
        <w:t xml:space="preserve"> – </w:t>
      </w:r>
      <w:r w:rsidR="00F0190B">
        <w:rPr>
          <w:rFonts w:ascii="Times New Roman" w:eastAsia="Times New Roman" w:hAnsi="Times New Roman" w:cs="Times New Roman"/>
          <w:sz w:val="24"/>
          <w:szCs w:val="24"/>
          <w:lang w:eastAsia="ru-RU"/>
        </w:rPr>
        <w:t>объект капитального</w:t>
      </w:r>
      <w:r w:rsidRPr="007020C2">
        <w:rPr>
          <w:rFonts w:ascii="Times New Roman" w:eastAsia="Times New Roman" w:hAnsi="Times New Roman" w:cs="Times New Roman"/>
          <w:sz w:val="24"/>
          <w:szCs w:val="24"/>
          <w:lang w:eastAsia="ru-RU"/>
        </w:rPr>
        <w:t xml:space="preserve"> строительства, представляющий собой объемную строительную систему, имеющую надземную и (или) подземную части, включающую в себя помещения, сети инженерно</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технического обеспечения и системы инженерно</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технического обеспечения и предназначенную для проживания (жилое здание) и (или) деятельности людей, размещения производства, хранения продукции или содержания животных;</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индивидуальные жилые дома –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lastRenderedPageBreak/>
        <w:t xml:space="preserve">коэффициент застройки земельного участка, жилого квартала, жилого района – отношение площади территории, застроенной жилыми домами (суммарной площади горизонтальных сечений жилых домов на уровне цоколя, включая выступающие части), к площади территории земельного участка, </w:t>
      </w:r>
      <w:r w:rsidR="00F0190B">
        <w:rPr>
          <w:rFonts w:ascii="Times New Roman" w:eastAsia="Times New Roman" w:hAnsi="Times New Roman" w:cs="Times New Roman"/>
          <w:sz w:val="24"/>
          <w:szCs w:val="24"/>
          <w:lang w:eastAsia="ru-RU"/>
        </w:rPr>
        <w:t>жилого квартала, жилого района,</w:t>
      </w:r>
      <w:r w:rsidRPr="007020C2">
        <w:rPr>
          <w:rFonts w:ascii="Times New Roman" w:eastAsia="Times New Roman" w:hAnsi="Times New Roman" w:cs="Times New Roman"/>
          <w:sz w:val="24"/>
          <w:szCs w:val="24"/>
          <w:lang w:eastAsia="ru-RU"/>
        </w:rPr>
        <w:t> выраженное в процентах;</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многоквартирный дом (многоквартирный жилой дом) – жилое здание с числом квартир две и более, имеющих выходы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объекты местного значения (объекты местного значения городского округа) – объекты капитального строительства, иные объекты, территории, которые необходимы для осуществления органами местного самоуправления городского округа полномочий по</w:t>
      </w:r>
      <w:r w:rsidR="00054407">
        <w:rPr>
          <w:rFonts w:ascii="Times New Roman" w:eastAsia="Times New Roman" w:hAnsi="Times New Roman" w:cs="Times New Roman"/>
          <w:sz w:val="24"/>
          <w:szCs w:val="24"/>
          <w:lang w:eastAsia="ru-RU"/>
        </w:rPr>
        <w:t xml:space="preserve"> решению</w:t>
      </w:r>
      <w:r w:rsidRPr="007020C2">
        <w:rPr>
          <w:rFonts w:ascii="Times New Roman" w:eastAsia="Times New Roman" w:hAnsi="Times New Roman" w:cs="Times New Roman"/>
          <w:sz w:val="24"/>
          <w:szCs w:val="24"/>
          <w:lang w:eastAsia="ru-RU"/>
        </w:rPr>
        <w:t xml:space="preserve"> вопрос</w:t>
      </w:r>
      <w:r w:rsidR="00054407">
        <w:rPr>
          <w:rFonts w:ascii="Times New Roman" w:eastAsia="Times New Roman" w:hAnsi="Times New Roman" w:cs="Times New Roman"/>
          <w:sz w:val="24"/>
          <w:szCs w:val="24"/>
          <w:lang w:eastAsia="ru-RU"/>
        </w:rPr>
        <w:t>ов</w:t>
      </w:r>
      <w:r w:rsidRPr="007020C2">
        <w:rPr>
          <w:rFonts w:ascii="Times New Roman" w:eastAsia="Times New Roman" w:hAnsi="Times New Roman" w:cs="Times New Roman"/>
          <w:sz w:val="24"/>
          <w:szCs w:val="24"/>
          <w:lang w:eastAsia="ru-RU"/>
        </w:rPr>
        <w:t xml:space="preserve"> местного значения городского округа и в пределах переданных государственных полномочий в соответствии с федеральными законами, законом Московской области, уставом </w:t>
      </w:r>
      <w:r w:rsidR="00054407">
        <w:rPr>
          <w:rFonts w:ascii="Times New Roman" w:eastAsia="Times New Roman" w:hAnsi="Times New Roman" w:cs="Times New Roman"/>
          <w:sz w:val="24"/>
          <w:szCs w:val="24"/>
          <w:lang w:eastAsia="ru-RU"/>
        </w:rPr>
        <w:t xml:space="preserve">Богородского </w:t>
      </w:r>
      <w:r w:rsidRPr="007020C2">
        <w:rPr>
          <w:rFonts w:ascii="Times New Roman" w:eastAsia="Times New Roman" w:hAnsi="Times New Roman" w:cs="Times New Roman"/>
          <w:sz w:val="24"/>
          <w:szCs w:val="24"/>
          <w:lang w:eastAsia="ru-RU"/>
        </w:rPr>
        <w:t>городского округа и оказывают существенное влияние на социально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экономическое развитие </w:t>
      </w:r>
      <w:r w:rsidR="00054407">
        <w:rPr>
          <w:rFonts w:ascii="Times New Roman" w:eastAsia="Times New Roman" w:hAnsi="Times New Roman" w:cs="Times New Roman"/>
          <w:sz w:val="24"/>
          <w:szCs w:val="24"/>
          <w:lang w:eastAsia="ru-RU"/>
        </w:rPr>
        <w:t xml:space="preserve">Богородского </w:t>
      </w:r>
      <w:r w:rsidRPr="007020C2">
        <w:rPr>
          <w:rFonts w:ascii="Times New Roman" w:eastAsia="Times New Roman" w:hAnsi="Times New Roman" w:cs="Times New Roman"/>
          <w:sz w:val="24"/>
          <w:szCs w:val="24"/>
          <w:lang w:eastAsia="ru-RU"/>
        </w:rPr>
        <w:t>городского округа;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плотность застройки земельного участка, жилого квартала, жилого района – отношение суммарной поэтажной площади в квадратных метрах наземных частей жилых домов в габаритах наружных стен, включая встроенные и пристроенные нежилые помещения, к площади территории в гектарах земельного участка, жилого квартала, жилого района;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помещение – часть объема здания или сооружения, имеющая определенное назначение и ограниченная строительными конструкциями;</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улица – территория общего пользования населенного пункта,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улично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дорожная сеть – сеть улиц (улицы, проезды, переулки) и дорог, проложенных в границах населенного пункта, классифицируемых в зависимости от функционального назначения в планировочной структуре населенного пункта.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1.2. Помимо понятий, перечисленных в п. 1.1 настоящего раздела, в местных нормативах используются понятия, содержащиеся в федеральных законах и законах Московской области, в национальных стандартах и сводах правил, в нормативах градостроительного </w:t>
      </w:r>
      <w:r w:rsidRPr="007020C2">
        <w:rPr>
          <w:rFonts w:ascii="Times New Roman" w:eastAsia="Times New Roman" w:hAnsi="Times New Roman" w:cs="Times New Roman"/>
          <w:sz w:val="24"/>
          <w:szCs w:val="24"/>
          <w:lang w:eastAsia="ru-RU"/>
        </w:rPr>
        <w:lastRenderedPageBreak/>
        <w:t>проектирования Московской области, утвержденных постановлением Правительства Московской области от 17.08.2015 № 713/30.</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1.3. Местные нормативы подготовлены в соответствии с Градостроительным кодексом Российской Федерации, Федеральным законом от 06.10.2003 № 131</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ФЗ «Об общих принципах организации местного самоуправления в Российской Федерации», Законом Московской области от 24.07.2014 № 106/2014</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24.07.2014 № 107/2014</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Законом Московской области от 05.12.2014 № 164/2014</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постановлением Правительства Московской области от 17.08.2015 № 713/30 «Об утверждении нормативов градостроительного проектирования Московской области» (далее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нормативы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1.4. Местные нормативы обеспечивают согласованность решений комплексного социально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экономического планирования и градостроительного проектирования, определяют зависимость между показателями социально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экономического развития территорий и показателями пространственного развития территорий Богородского городского округа.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1.5. Местные нормативы содержат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населения Богородского городского округа объектами местного значения (относящимися к областям, указанным в </w:t>
      </w:r>
      <w:hyperlink r:id="rId7" w:anchor="sub_23051" w:history="1">
        <w:r w:rsidRPr="007020C2">
          <w:rPr>
            <w:rFonts w:ascii="Times New Roman" w:eastAsia="Times New Roman" w:hAnsi="Times New Roman" w:cs="Times New Roman"/>
            <w:sz w:val="24"/>
            <w:szCs w:val="24"/>
            <w:u w:val="single"/>
            <w:bdr w:val="none" w:sz="0" w:space="0" w:color="auto" w:frame="1"/>
            <w:lang w:eastAsia="ru-RU"/>
          </w:rPr>
          <w:t>пункте 1 части 5 статьи 23</w:t>
        </w:r>
      </w:hyperlink>
      <w:r w:rsidRPr="007020C2">
        <w:rPr>
          <w:rFonts w:ascii="Times New Roman" w:eastAsia="Times New Roman" w:hAnsi="Times New Roman" w:cs="Times New Roman"/>
          <w:sz w:val="24"/>
          <w:szCs w:val="24"/>
          <w:lang w:eastAsia="ru-RU"/>
        </w:rPr>
        <w:t> Градостроительного кодекса Российской Федерации, объектами 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 а также материалы по обоснованию, правила и область применения этих расчетных показателей.</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1.6. Расчетные показатели и их значения, отмеченные звездочкой (*) не связаны с решением вопросов местного значения городского округа и не являются предметом утверждения настоящих местных нормативов. Эти расчетные показатели установлены в нормативах градостроительного проектирования Московской области и приведены в справочно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информационных целях для полноты описания требований при совместном размещени</w:t>
      </w:r>
      <w:r w:rsidR="00054407">
        <w:rPr>
          <w:rFonts w:ascii="Times New Roman" w:eastAsia="Times New Roman" w:hAnsi="Times New Roman" w:cs="Times New Roman"/>
          <w:sz w:val="24"/>
          <w:szCs w:val="24"/>
          <w:lang w:eastAsia="ru-RU"/>
        </w:rPr>
        <w:t>и</w:t>
      </w:r>
      <w:r w:rsidRPr="007020C2">
        <w:rPr>
          <w:rFonts w:ascii="Times New Roman" w:eastAsia="Times New Roman" w:hAnsi="Times New Roman" w:cs="Times New Roman"/>
          <w:sz w:val="24"/>
          <w:szCs w:val="24"/>
          <w:lang w:eastAsia="ru-RU"/>
        </w:rPr>
        <w:t xml:space="preserve"> объектов местного значения городского округа и объектов иного значения (в том числе регионального) на территории Богородского городского округа.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1.7. Богородский городской округ входит в состав Ногинской городской устойчивой системы расселения Московской области. В состав Богородского городского округа входят город Ногинск, город Старая Купавна, город Электроугли, рабочий посёлок им. Воровского, </w:t>
      </w:r>
      <w:r w:rsidRPr="007020C2">
        <w:rPr>
          <w:rFonts w:ascii="Times New Roman" w:eastAsia="Times New Roman" w:hAnsi="Times New Roman" w:cs="Times New Roman"/>
          <w:sz w:val="24"/>
          <w:szCs w:val="24"/>
          <w:lang w:eastAsia="ru-RU"/>
        </w:rPr>
        <w:lastRenderedPageBreak/>
        <w:t>рабочий посёлок Обухово и 77 сельских населенных пунктов. Административным центром Богородского городского округа является город Ногинск.</w:t>
      </w:r>
    </w:p>
    <w:p w:rsidR="00F639AF" w:rsidRPr="007020C2" w:rsidRDefault="00F639AF" w:rsidP="00D54D1B">
      <w:pPr>
        <w:spacing w:after="0"/>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p w:rsidR="00F639AF" w:rsidRPr="007020C2" w:rsidRDefault="00D54D1B" w:rsidP="00D54D1B">
      <w:pPr>
        <w:spacing w:after="0"/>
        <w:ind w:left="426" w:right="282"/>
        <w:jc w:val="center"/>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2. </w:t>
      </w:r>
      <w:r w:rsidR="00F639AF" w:rsidRPr="007020C2">
        <w:rPr>
          <w:rFonts w:ascii="Times New Roman" w:eastAsia="Times New Roman" w:hAnsi="Times New Roman" w:cs="Times New Roman"/>
          <w:b/>
          <w:bCs/>
          <w:sz w:val="24"/>
          <w:szCs w:val="24"/>
          <w:bdr w:val="none" w:sz="0" w:space="0" w:color="auto" w:frame="1"/>
          <w:lang w:eastAsia="ru-RU"/>
        </w:rPr>
        <w:t xml:space="preserve">Основная часть </w:t>
      </w:r>
      <w:r w:rsidR="00AE7596" w:rsidRPr="007020C2">
        <w:rPr>
          <w:rFonts w:ascii="Times New Roman" w:eastAsia="Times New Roman" w:hAnsi="Times New Roman" w:cs="Times New Roman"/>
          <w:b/>
          <w:bCs/>
          <w:sz w:val="24"/>
          <w:szCs w:val="24"/>
          <w:bdr w:val="none" w:sz="0" w:space="0" w:color="auto" w:frame="1"/>
          <w:lang w:eastAsia="ru-RU"/>
        </w:rPr>
        <w:t>–</w:t>
      </w:r>
      <w:r w:rsidR="00F639AF" w:rsidRPr="007020C2">
        <w:rPr>
          <w:rFonts w:ascii="Times New Roman" w:eastAsia="Times New Roman" w:hAnsi="Times New Roman" w:cs="Times New Roman"/>
          <w:b/>
          <w:bCs/>
          <w:sz w:val="24"/>
          <w:szCs w:val="24"/>
          <w:bdr w:val="none" w:sz="0" w:space="0" w:color="auto" w:frame="1"/>
          <w:lang w:eastAsia="ru-RU"/>
        </w:rPr>
        <w:t xml:space="preserve"> расчетные показатели минимально допустимого уровня обеспеченности объектами местного значения населения Богородского городского округа и расчетные показатели максимально допустимого уровня территориальной доступности таких объектов для населения Богородского городского округа</w:t>
      </w:r>
    </w:p>
    <w:p w:rsidR="00F639AF" w:rsidRPr="007020C2" w:rsidRDefault="00F639AF" w:rsidP="00D54D1B">
      <w:pPr>
        <w:spacing w:after="0"/>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 </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 Расчетные показатели в области жилищного строительства.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2.1.1. Максимально допустимая этажность жилых и нежилых зданий в городе Ногинске принимается 9 этажей, в городах Старая Купавна  и Электроугли – 7 этажей, в рабочих посёлках им. Воровского и Обухово – 5 этажей, в сельских населенных пунктах – 3 этажа.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Допускается строительство и реконструкция жилых и нежилых зданий с отклонением от установленной максимально допустимой этажности в случаях, на условиях и в порядке, предусмотренны</w:t>
      </w:r>
      <w:r w:rsidR="00054407">
        <w:rPr>
          <w:rFonts w:ascii="Times New Roman" w:eastAsia="Times New Roman" w:hAnsi="Times New Roman" w:cs="Times New Roman"/>
          <w:sz w:val="24"/>
          <w:szCs w:val="24"/>
          <w:lang w:eastAsia="ru-RU"/>
        </w:rPr>
        <w:t>х</w:t>
      </w:r>
      <w:r w:rsidRPr="007020C2">
        <w:rPr>
          <w:rFonts w:ascii="Times New Roman" w:eastAsia="Times New Roman" w:hAnsi="Times New Roman" w:cs="Times New Roman"/>
          <w:sz w:val="24"/>
          <w:szCs w:val="24"/>
          <w:lang w:eastAsia="ru-RU"/>
        </w:rPr>
        <w:t xml:space="preserve"> нормативами градостроительного проектирования Московской области.</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2.1.2. При определении максимальной этажности жилого дома в число этажей включаются все надземные этажи кроме технического, в том числе мансардный и цокольный, если верх его перекрытия находится выше средней планировочной отметки земли не менее чем на 2 м.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2.1.3. Основными элементами планировочной структуры территорий жилой застройки являются жилой район и жилой квартал.</w:t>
      </w:r>
    </w:p>
    <w:p w:rsidR="00F639AF" w:rsidRPr="007020C2" w:rsidRDefault="00F639AF" w:rsidP="00D54D1B">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2.1.4. Для расчета предельно допустимых параметров застройки жилого района и жилого квартала (части жилого квартала) многоквартирными жилыми домами используются показатели – максимальный коэффициент и максимальная плотность застройки многоквартирными жилыми домами, значения которых в зависимости от средней этажности приведены в таблице 1.</w:t>
      </w:r>
    </w:p>
    <w:p w:rsidR="00F639AF" w:rsidRPr="007020C2" w:rsidRDefault="00F639AF" w:rsidP="008D3A0C">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w:t>
      </w:r>
    </w:p>
    <w:tbl>
      <w:tblPr>
        <w:tblW w:w="10073" w:type="dxa"/>
        <w:jc w:val="center"/>
        <w:tblLayout w:type="fixed"/>
        <w:tblCellMar>
          <w:left w:w="0" w:type="dxa"/>
          <w:right w:w="0" w:type="dxa"/>
        </w:tblCellMar>
        <w:tblLook w:val="04A0"/>
      </w:tblPr>
      <w:tblGrid>
        <w:gridCol w:w="2135"/>
        <w:gridCol w:w="1996"/>
        <w:gridCol w:w="1973"/>
        <w:gridCol w:w="1996"/>
        <w:gridCol w:w="1973"/>
      </w:tblGrid>
      <w:tr w:rsidR="008D3A0C" w:rsidRPr="007020C2" w:rsidTr="008D3A0C">
        <w:trPr>
          <w:jc w:val="center"/>
        </w:trPr>
        <w:tc>
          <w:tcPr>
            <w:tcW w:w="21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ind w:left="-142"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Средняя этажность многоквартирных жилых домов</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Жилой квартал</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Жилой район</w:t>
            </w:r>
          </w:p>
        </w:tc>
      </w:tr>
      <w:tr w:rsidR="008D3A0C" w:rsidRPr="007020C2" w:rsidTr="008D3A0C">
        <w:trPr>
          <w:jc w:val="center"/>
        </w:trPr>
        <w:tc>
          <w:tcPr>
            <w:tcW w:w="213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8D3A0C">
            <w:pPr>
              <w:spacing w:after="0" w:line="240" w:lineRule="auto"/>
              <w:jc w:val="center"/>
              <w:rPr>
                <w:rFonts w:ascii="Times New Roman" w:eastAsia="Times New Roman" w:hAnsi="Times New Roman" w:cs="Times New Roman"/>
                <w:lang w:eastAsia="ru-RU"/>
              </w:rPr>
            </w:pP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Максимальный коэффициент застройки жилыми домами, %</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плотность застройки жилыми домами,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/га</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Максимальный коэффициент застройки жилыми домами, %</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плотность застройки жилыми домами,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/га</w:t>
            </w:r>
          </w:p>
        </w:tc>
      </w:tr>
      <w:tr w:rsidR="008D3A0C" w:rsidRPr="007020C2" w:rsidTr="008D3A0C">
        <w:trPr>
          <w:jc w:val="center"/>
        </w:trPr>
        <w:tc>
          <w:tcPr>
            <w:tcW w:w="100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 Ногинск</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47,9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4790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29,8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2980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8010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4340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34,1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10200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5090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29,8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5590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5960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6250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6480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16000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6670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6830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6960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16,2</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17800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15,2</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18200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7180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18600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7270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19000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7350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7430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19600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7490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7550</w:t>
            </w:r>
          </w:p>
        </w:tc>
      </w:tr>
      <w:tr w:rsidR="008D3A0C" w:rsidRPr="007020C2" w:rsidTr="008D3A0C">
        <w:trPr>
          <w:jc w:val="center"/>
        </w:trPr>
        <w:tc>
          <w:tcPr>
            <w:tcW w:w="100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Города Старая Купавна и Электроугли</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46,4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4640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28,1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2810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38,1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7620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4010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32,0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9600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4640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11100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5050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12200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5350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13100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5580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8,2</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5760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18,2</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14500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5910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15100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6040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15500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6140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16000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6230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12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6310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16600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6380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6450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17200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6500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6550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6600</w:t>
            </w:r>
          </w:p>
        </w:tc>
      </w:tr>
      <w:tr w:rsidR="008D3A0C" w:rsidRPr="007020C2" w:rsidTr="008D3A0C">
        <w:trPr>
          <w:jc w:val="center"/>
        </w:trPr>
        <w:tc>
          <w:tcPr>
            <w:tcW w:w="100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Рабочие посёлки им. Воровского и Обухово</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4580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2740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37,3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7460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3880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31,1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4460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4840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11800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10,2</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5120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5330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5490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13900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5630</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6,4</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5740</w:t>
            </w:r>
          </w:p>
        </w:tc>
      </w:tr>
      <w:tr w:rsidR="008D3A0C" w:rsidRPr="007020C2" w:rsidTr="008D3A0C">
        <w:trPr>
          <w:jc w:val="center"/>
        </w:trPr>
        <w:tc>
          <w:tcPr>
            <w:tcW w:w="100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3 до 15 тыс. человек</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4580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37,3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7460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31,1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10700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23,6</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11800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100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1 до 3 тыс. человек</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45,1</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4510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36,5</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7300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30,3</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9100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26,0</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22,8</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11400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p>
        </w:tc>
      </w:tr>
      <w:tr w:rsidR="008D3A0C" w:rsidRPr="007020C2" w:rsidTr="008D3A0C">
        <w:trPr>
          <w:jc w:val="center"/>
        </w:trPr>
        <w:tc>
          <w:tcPr>
            <w:tcW w:w="10073"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менее 1 тыс. человек</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44,7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4470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35,9</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7190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8D3A0C" w:rsidRPr="007020C2" w:rsidTr="008D3A0C">
        <w:trPr>
          <w:jc w:val="center"/>
        </w:trPr>
        <w:tc>
          <w:tcPr>
            <w:tcW w:w="21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29,7</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8920</w:t>
            </w:r>
          </w:p>
        </w:tc>
        <w:tc>
          <w:tcPr>
            <w:tcW w:w="19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8D3A0C">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bl>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Примечания:</w:t>
      </w:r>
    </w:p>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максимальные расчетные показатели для промежуточных нецелочисленных значений средней этажности жилых домов рассчитываются методом линейной интерполяции;</w:t>
      </w:r>
    </w:p>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максимальные расчетные показатели для жилых домов выше 9 этажей для города Ногинска, выше 7 этажей для городов Старая Купавна  и Электроугли, выше 5 этажей для рабочих посёлков им. Воровского и Обухово и выше 3 этажей для сельских населенных пунктов приведены для учета ранее спроектированных и построенных жилых домов, этажность которых выше установленной максимально допустимой, и для случаев,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w:t>
      </w:r>
    </w:p>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средняя этажность, коэффициент и плотность застройки жилыми домами, плотность населения по определению являются математически связанными показателями:</w:t>
      </w:r>
    </w:p>
    <w:p w:rsidR="00F639AF" w:rsidRPr="007020C2" w:rsidRDefault="00AE7596"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плотность застройки равна произведению средней этажности на коэффициент застройки с учетом коэффициентов согласования единиц измерения, например, 2 × (36,5% / 100%) × 10000 = 7300;</w:t>
      </w:r>
    </w:p>
    <w:p w:rsidR="00F639AF" w:rsidRPr="007020C2" w:rsidRDefault="00AE7596"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расчетная плотность населения на территории проектируемой многоквартирной застройки равна частному от деления плотности застройки на показатель обеспеченности одного жителя площадью домов из расчета 28 м</w:t>
      </w:r>
      <w:r w:rsidR="00F639AF" w:rsidRPr="007020C2">
        <w:rPr>
          <w:rFonts w:ascii="Times New Roman" w:eastAsia="Times New Roman" w:hAnsi="Times New Roman" w:cs="Times New Roman"/>
          <w:vertAlign w:val="superscript"/>
          <w:lang w:eastAsia="ru-RU"/>
        </w:rPr>
        <w:t>2</w:t>
      </w:r>
      <w:r w:rsidR="00F639AF" w:rsidRPr="007020C2">
        <w:rPr>
          <w:rFonts w:ascii="Times New Roman" w:eastAsia="Times New Roman" w:hAnsi="Times New Roman" w:cs="Times New Roman"/>
          <w:lang w:eastAsia="ru-RU"/>
        </w:rPr>
        <w:t> суммарной поэтажной площади наземных частей многоквартирных жилых домов.</w:t>
      </w:r>
    </w:p>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 при расчете коэффициента застройки и плотности застройки квартала многоквартирными жилыми домами из расчетной площади квартала исключаются земельные участки, на которых размещаются индивидуальные жилые дома  и отдельно стоящие объекты нежилого назначения перечисленных в таблице 6 видов;</w:t>
      </w:r>
    </w:p>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5) максимальные коэффициент и плотность застройки </w:t>
      </w:r>
      <w:r w:rsidR="002F0836" w:rsidRPr="007020C2">
        <w:rPr>
          <w:rFonts w:ascii="Times New Roman" w:eastAsia="Times New Roman" w:hAnsi="Times New Roman" w:cs="Times New Roman"/>
          <w:lang w:eastAsia="ru-RU"/>
        </w:rPr>
        <w:t xml:space="preserve">жилого </w:t>
      </w:r>
      <w:r w:rsidRPr="007020C2">
        <w:rPr>
          <w:rFonts w:ascii="Times New Roman" w:eastAsia="Times New Roman" w:hAnsi="Times New Roman" w:cs="Times New Roman"/>
          <w:lang w:eastAsia="ru-RU"/>
        </w:rPr>
        <w:t>района многоквартирными жилыми домами установлены с учетом минимально необходимой по расчету площади для размещения объектов обслуживания жилой застройки – объектов образования, торговли, общественного питания и иных перечисленных в таблице 6 видов.</w:t>
      </w:r>
    </w:p>
    <w:p w:rsidR="00F639AF" w:rsidRPr="007020C2" w:rsidRDefault="00F639AF" w:rsidP="008D3A0C">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8D3A0C">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2.1.5. Для расчета предельно допустимых параметров застройки жилого квартала (части жилого квартала) блокированными жилыми домами используются показатели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максимальный коэффициент и максимальная плотность застройки, значения которых в зависимости от средней этажности приведены в таблице 2.</w:t>
      </w:r>
    </w:p>
    <w:p w:rsidR="00F639AF" w:rsidRPr="007020C2" w:rsidRDefault="00F639AF" w:rsidP="008D3A0C">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w:t>
      </w:r>
    </w:p>
    <w:tbl>
      <w:tblPr>
        <w:tblW w:w="4900" w:type="pct"/>
        <w:jc w:val="center"/>
        <w:tblCellMar>
          <w:left w:w="0" w:type="dxa"/>
          <w:right w:w="0" w:type="dxa"/>
        </w:tblCellMar>
        <w:tblLook w:val="04A0"/>
      </w:tblPr>
      <w:tblGrid>
        <w:gridCol w:w="2884"/>
        <w:gridCol w:w="3559"/>
        <w:gridCol w:w="3436"/>
      </w:tblGrid>
      <w:tr w:rsidR="00460401" w:rsidRPr="007020C2" w:rsidTr="00460401">
        <w:trPr>
          <w:tblHeade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Средняя этажность блокированных жилых домов в жилом квартале</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Максимальный коэффициент застройки жилыми домами, %</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плотность застройки жилыми домами,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/га</w:t>
            </w:r>
          </w:p>
        </w:tc>
      </w:tr>
      <w:tr w:rsidR="00460401" w:rsidRPr="007020C2" w:rsidTr="00460401">
        <w:trPr>
          <w:jc w:val="center"/>
        </w:trPr>
        <w:tc>
          <w:tcPr>
            <w:tcW w:w="9660"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Город Ногинск</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43,3</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8650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38,6</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11570</w:t>
            </w:r>
          </w:p>
        </w:tc>
      </w:tr>
      <w:tr w:rsidR="00460401" w:rsidRPr="007020C2" w:rsidTr="00460401">
        <w:trPr>
          <w:jc w:val="center"/>
        </w:trPr>
        <w:tc>
          <w:tcPr>
            <w:tcW w:w="9660"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Города Старая Купавна и Электроугли</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49,1</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4910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42,1</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8410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37,1</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11140</w:t>
            </w:r>
          </w:p>
        </w:tc>
      </w:tr>
      <w:tr w:rsidR="00460401" w:rsidRPr="007020C2" w:rsidTr="00460401">
        <w:trPr>
          <w:jc w:val="center"/>
        </w:trPr>
        <w:tc>
          <w:tcPr>
            <w:tcW w:w="9660"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Рабочие посёлки им. Воровского и Обухово</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48,8</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4880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41,5</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8310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36,5</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10960</w:t>
            </w:r>
          </w:p>
        </w:tc>
      </w:tr>
      <w:tr w:rsidR="00460401" w:rsidRPr="007020C2" w:rsidTr="00460401">
        <w:trPr>
          <w:jc w:val="center"/>
        </w:trPr>
        <w:tc>
          <w:tcPr>
            <w:tcW w:w="9660"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3 до 15 тыс. человек</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48,8</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4880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41,5</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8310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36,5</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10960</w:t>
            </w:r>
          </w:p>
        </w:tc>
      </w:tr>
      <w:tr w:rsidR="00460401" w:rsidRPr="007020C2" w:rsidTr="00460401">
        <w:trPr>
          <w:jc w:val="center"/>
        </w:trPr>
        <w:tc>
          <w:tcPr>
            <w:tcW w:w="9660"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1 до 3 тыс. человек</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48,4</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4840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41,0</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8210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36,0</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10790</w:t>
            </w:r>
          </w:p>
        </w:tc>
      </w:tr>
      <w:tr w:rsidR="00460401" w:rsidRPr="007020C2" w:rsidTr="00460401">
        <w:trPr>
          <w:jc w:val="center"/>
        </w:trPr>
        <w:tc>
          <w:tcPr>
            <w:tcW w:w="9660"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менее 1 тыс. человек</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48,2</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4820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40,7</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8130</w:t>
            </w:r>
          </w:p>
        </w:tc>
      </w:tr>
      <w:tr w:rsidR="00460401" w:rsidRPr="007020C2" w:rsidTr="00460401">
        <w:trPr>
          <w:jc w:val="center"/>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48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35,5</w:t>
            </w:r>
          </w:p>
        </w:tc>
        <w:tc>
          <w:tcPr>
            <w:tcW w:w="334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46040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10660</w:t>
            </w:r>
          </w:p>
        </w:tc>
      </w:tr>
    </w:tbl>
    <w:p w:rsidR="00F639AF" w:rsidRPr="007020C2" w:rsidRDefault="00F639AF" w:rsidP="00460401">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Примечания:</w:t>
      </w:r>
    </w:p>
    <w:p w:rsidR="00F639AF" w:rsidRPr="007020C2" w:rsidRDefault="00F639AF" w:rsidP="00460401">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максимальные расчетные показатели для промежуточных нецелочисленных значений средней этажности жилых домов рассчитываются методом линейной интерполяции;</w:t>
      </w:r>
    </w:p>
    <w:p w:rsidR="00F639AF" w:rsidRPr="007020C2" w:rsidRDefault="00F639AF" w:rsidP="00460401">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средняя этажность, коэффициент застройки и плотность застройки жилыми домами по определению являются математически связанными показателями: плотность застройки равна произведению средней этажности на коэффициент застройки с учетом коэффициентов согласования единиц измерения, например, 2 × (41,0% / 100%) × 10000 = 8200.</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2.1.6. При застройке земельных участков индивидуальными жилыми домами максимальный коэффициент застройки земельного участка Kз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устанавливается без учета гаражей, строений и сооружений вспомогательного использования, не предназначенных для постоянного проживания. В Богородском городском округе для сельских населенных пунктов Kз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40%, для городских населенных пунктов Kз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ра</w:t>
      </w:r>
      <w:r w:rsidR="00780E69" w:rsidRPr="007020C2">
        <w:rPr>
          <w:rFonts w:ascii="Times New Roman" w:eastAsia="Times New Roman" w:hAnsi="Times New Roman" w:cs="Times New Roman"/>
          <w:sz w:val="24"/>
          <w:szCs w:val="24"/>
          <w:lang w:eastAsia="ru-RU"/>
        </w:rPr>
        <w:t>сс</w:t>
      </w:r>
      <w:r w:rsidRPr="007020C2">
        <w:rPr>
          <w:rFonts w:ascii="Times New Roman" w:eastAsia="Times New Roman" w:hAnsi="Times New Roman" w:cs="Times New Roman"/>
          <w:sz w:val="24"/>
          <w:szCs w:val="24"/>
          <w:lang w:eastAsia="ru-RU"/>
        </w:rPr>
        <w:t>читывается в зависимости от площади земельного участка S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по формуле:</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40%,   если S зу</w:t>
      </w:r>
      <w:r w:rsidRPr="007020C2">
        <w:rPr>
          <w:rFonts w:ascii="Times New Roman" w:eastAsia="Times New Roman" w:hAnsi="Times New Roman" w:cs="Times New Roman"/>
          <w:sz w:val="24"/>
          <w:szCs w:val="24"/>
          <w:vertAlign w:val="subscript"/>
          <w:lang w:eastAsia="ru-RU"/>
        </w:rPr>
        <w:t>ижс </w:t>
      </w:r>
      <w:r w:rsidRPr="007020C2">
        <w:rPr>
          <w:rFonts w:ascii="Times New Roman" w:eastAsia="Times New Roman" w:hAnsi="Times New Roman" w:cs="Times New Roman"/>
          <w:sz w:val="24"/>
          <w:szCs w:val="24"/>
          <w:lang w:eastAsia="ru-RU"/>
        </w:rPr>
        <w:t>≤ 600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(600/ S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 40% + ((S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w:t>
      </w:r>
      <w:r w:rsidR="00AE7596" w:rsidRPr="007020C2">
        <w:rPr>
          <w:rFonts w:ascii="Times New Roman" w:eastAsia="Times New Roman" w:hAnsi="Times New Roman" w:cs="Times New Roman"/>
          <w:sz w:val="24"/>
          <w:szCs w:val="24"/>
          <w:lang w:eastAsia="ru-RU"/>
        </w:rPr>
        <w:t xml:space="preserve">– </w:t>
      </w:r>
      <w:r w:rsidRPr="007020C2">
        <w:rPr>
          <w:rFonts w:ascii="Times New Roman" w:eastAsia="Times New Roman" w:hAnsi="Times New Roman" w:cs="Times New Roman"/>
          <w:sz w:val="24"/>
          <w:szCs w:val="24"/>
          <w:lang w:eastAsia="ru-RU"/>
        </w:rPr>
        <w:t>600)/ S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 10%, если S зу</w:t>
      </w:r>
      <w:r w:rsidRPr="007020C2">
        <w:rPr>
          <w:rFonts w:ascii="Times New Roman" w:eastAsia="Times New Roman" w:hAnsi="Times New Roman" w:cs="Times New Roman"/>
          <w:sz w:val="24"/>
          <w:szCs w:val="24"/>
          <w:vertAlign w:val="subscript"/>
          <w:lang w:eastAsia="ru-RU"/>
        </w:rPr>
        <w:t>ижс</w:t>
      </w:r>
      <w:r w:rsidRPr="007020C2">
        <w:rPr>
          <w:rFonts w:ascii="Times New Roman" w:eastAsia="Times New Roman" w:hAnsi="Times New Roman" w:cs="Times New Roman"/>
          <w:sz w:val="24"/>
          <w:szCs w:val="24"/>
          <w:lang w:eastAsia="ru-RU"/>
        </w:rPr>
        <w:t> &gt; 600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b/>
          <w:bCs/>
          <w:sz w:val="24"/>
          <w:szCs w:val="24"/>
          <w:bdr w:val="none" w:sz="0" w:space="0" w:color="auto" w:frame="1"/>
          <w:lang w:eastAsia="ru-RU"/>
        </w:rPr>
        <w:t>.</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Максимальная этажность индивидуальных жилых домов  3 этажа.</w:t>
      </w:r>
    </w:p>
    <w:p w:rsidR="00651D64"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2.1.7. В населенных пунктах при новом строительстве и (или) реконструкции жилой застройки в первых этажах жилых зданий этажностью 4 этажа и выше под нежилые помещения отводится площадь не менее 6% от общей жилой площади здания, а при этажности свыше 12 этажей нежилые помещения занимают полностью первый этаж. </w:t>
      </w:r>
      <w:r w:rsidR="00651D64" w:rsidRPr="007020C2">
        <w:rPr>
          <w:rFonts w:ascii="Times New Roman" w:eastAsia="Times New Roman" w:hAnsi="Times New Roman" w:cs="Times New Roman"/>
          <w:sz w:val="24"/>
          <w:szCs w:val="24"/>
          <w:lang w:eastAsia="ru-RU"/>
        </w:rPr>
        <w:t xml:space="preserve">Преимущественно нежилые помещения в первых этажах располагаются в жилых зданиях, фасады которых выходят на жилые и (или) магистральные улицы. </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В нежилых помещениях могут размещаться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школ и бизнес</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защитных зон и не оказывает вредного радиологического, электромагнитного и санитарно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эпидемиологического влияния и соблюдены условия для проведения погрузочно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разгрузочных работ.</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2.1.8. Обобщенной характеристикой жилой застройки квартала является морфологический тип застройки.  Его описание включает в том числе схемы компоновки зданий относительно друг друга и границ квартала, размеры квартала, типы жилых домов (многоквартирные, блокированные, индивидуальные), их размеры, этажность, формы (протяженные, «Г»</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«П»</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«Т»</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образные, точечные), исторический период застройки. Схемы компоновки зданий подразделя</w:t>
      </w:r>
      <w:r w:rsidR="00FE2D01" w:rsidRPr="007020C2">
        <w:rPr>
          <w:rFonts w:ascii="Times New Roman" w:eastAsia="Times New Roman" w:hAnsi="Times New Roman" w:cs="Times New Roman"/>
          <w:sz w:val="24"/>
          <w:szCs w:val="24"/>
          <w:lang w:eastAsia="ru-RU"/>
        </w:rPr>
        <w:t>ю</w:t>
      </w:r>
      <w:r w:rsidRPr="007020C2">
        <w:rPr>
          <w:rFonts w:ascii="Times New Roman" w:eastAsia="Times New Roman" w:hAnsi="Times New Roman" w:cs="Times New Roman"/>
          <w:sz w:val="24"/>
          <w:szCs w:val="24"/>
          <w:lang w:eastAsia="ru-RU"/>
        </w:rPr>
        <w:t>тся на свободную, регулярную и комбинированную.</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2.1.9. К базовым регулярным компоновкам протяженных зданий относятся строчная и периметральная компоновки. При строчной компоновке длинные стороны протяженных зданий расположены параллельно друг другу, параллельно или под углом к одной из сторон квартала, образуя линию (строку) застройки. Здания могут примыкать друг к другу, иметь разрывы и располагаться со сдвигом. В квартале может быть несколько параллельных строк застройки. При периметральной компоновке здания расположены вдоль периметра квартала, территории общего пользования (улицы) конструктивно отделены от приватных дворовых территорий, образующихся внутри квартала, что отвечает современным стандартам организации жилой территории. Периметральная компоновка может быть образована </w:t>
      </w:r>
      <w:r w:rsidRPr="007020C2">
        <w:rPr>
          <w:rFonts w:ascii="Times New Roman" w:eastAsia="Times New Roman" w:hAnsi="Times New Roman" w:cs="Times New Roman"/>
          <w:sz w:val="24"/>
          <w:szCs w:val="24"/>
          <w:lang w:eastAsia="ru-RU"/>
        </w:rPr>
        <w:lastRenderedPageBreak/>
        <w:t>протяженными, «Г»</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«П»</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«Т»</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образными зданиями с возможными разрывами и сдвигами между ними.</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2.1.10. Непрерывность фронта застройки вдоль линий застройки или периметра квартала характеризуется отношением  суммы длин зданий к общей длине линий застройки или к длине периметра квартала. Коэффициент непрерывности застройки равен 1, если отсутствуют разрывы между домами и отступы от границ квартала.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2.1.11. При строчной застройке минимальная глубина Х прямоугольного квартала (сторона квартала, к которой протяженные здания обращены торцом и расположены перпендикулярно) рассчитывается по формуле:</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Х = m × h × Кп / (Кз</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/100%)</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где:   m – количество линий застройки;</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h – средняя ширина зданий в квартале (h &lt; Х/2);</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Кп – коэффициент непрерывности строчной застройки;</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Кз</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максимальный коэффициент застройки квартала.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2.1.12. При периметральной застройке прямоугольного квартала, минимальные размеры квартала с шириной Х, длиной  Y = r × X  (r&gt;=1)  и площадью  S = X × Y  определяется  по формуле:</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Х = (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b + (b</w:t>
      </w:r>
      <w:r w:rsidRPr="007020C2">
        <w:rPr>
          <w:rFonts w:ascii="Times New Roman" w:eastAsia="Times New Roman" w:hAnsi="Times New Roman" w:cs="Times New Roman"/>
          <w:sz w:val="24"/>
          <w:szCs w:val="24"/>
          <w:vertAlign w:val="superscript"/>
          <w:lang w:eastAsia="ru-RU"/>
        </w:rPr>
        <w:t> 2 </w:t>
      </w:r>
      <w:r w:rsidRPr="007020C2">
        <w:rPr>
          <w:rFonts w:ascii="Times New Roman" w:eastAsia="Times New Roman" w:hAnsi="Times New Roman" w:cs="Times New Roman"/>
          <w:sz w:val="24"/>
          <w:szCs w:val="24"/>
          <w:lang w:eastAsia="ru-RU"/>
        </w:rPr>
        <w:t>– 4 × а × c)</w:t>
      </w:r>
      <w:r w:rsidRPr="007020C2">
        <w:rPr>
          <w:rFonts w:ascii="Times New Roman" w:eastAsia="Times New Roman" w:hAnsi="Times New Roman" w:cs="Times New Roman"/>
          <w:sz w:val="24"/>
          <w:szCs w:val="24"/>
          <w:vertAlign w:val="superscript"/>
          <w:lang w:eastAsia="ru-RU"/>
        </w:rPr>
        <w:t>1/2</w:t>
      </w:r>
      <w:r w:rsidRPr="007020C2">
        <w:rPr>
          <w:rFonts w:ascii="Times New Roman" w:eastAsia="Times New Roman" w:hAnsi="Times New Roman" w:cs="Times New Roman"/>
          <w:sz w:val="24"/>
          <w:szCs w:val="24"/>
          <w:lang w:eastAsia="ru-RU"/>
        </w:rPr>
        <w:t>) / (2 × 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где:   а = (r × Кз</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/100%) / (h × Кп);</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в =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2 × (1 + r);</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c = 4 × h;</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Кз</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максимальный коэффициент застройки квартала;</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h </w:t>
      </w:r>
      <w:r w:rsidRPr="007020C2">
        <w:rPr>
          <w:rFonts w:ascii="Times New Roman" w:eastAsia="Times New Roman" w:hAnsi="Times New Roman" w:cs="Times New Roman"/>
          <w:i/>
          <w:iCs/>
          <w:sz w:val="24"/>
          <w:szCs w:val="24"/>
          <w:bdr w:val="none" w:sz="0" w:space="0" w:color="auto" w:frame="1"/>
          <w:lang w:eastAsia="ru-RU"/>
        </w:rPr>
        <w:t>– </w:t>
      </w:r>
      <w:r w:rsidRPr="007020C2">
        <w:rPr>
          <w:rFonts w:ascii="Times New Roman" w:eastAsia="Times New Roman" w:hAnsi="Times New Roman" w:cs="Times New Roman"/>
          <w:sz w:val="24"/>
          <w:szCs w:val="24"/>
          <w:lang w:eastAsia="ru-RU"/>
        </w:rPr>
        <w:t>средняя ширина зданий в квартале (h&lt; Х/2);</w:t>
      </w:r>
    </w:p>
    <w:p w:rsidR="00F639AF" w:rsidRPr="007020C2" w:rsidRDefault="00F639AF" w:rsidP="00E22D88">
      <w:pPr>
        <w:spacing w:after="0"/>
        <w:ind w:firstLine="1276"/>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Кп</w:t>
      </w:r>
      <w:r w:rsidRPr="007020C2">
        <w:rPr>
          <w:rFonts w:ascii="Times New Roman" w:eastAsia="Times New Roman" w:hAnsi="Times New Roman" w:cs="Times New Roman"/>
          <w:i/>
          <w:iCs/>
          <w:sz w:val="24"/>
          <w:szCs w:val="24"/>
          <w:bdr w:val="none" w:sz="0" w:space="0" w:color="auto" w:frame="1"/>
          <w:lang w:eastAsia="ru-RU"/>
        </w:rPr>
        <w:t> – </w:t>
      </w:r>
      <w:r w:rsidRPr="007020C2">
        <w:rPr>
          <w:rFonts w:ascii="Times New Roman" w:eastAsia="Times New Roman" w:hAnsi="Times New Roman" w:cs="Times New Roman"/>
          <w:sz w:val="24"/>
          <w:szCs w:val="24"/>
          <w:lang w:eastAsia="ru-RU"/>
        </w:rPr>
        <w:t>коэффициент непрерывности периметральной застройки.</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2.1.13. В случае дополнения периметральной компоновки зданий зданиями внутри периметра квартала формула расчета размера квартала, приведенная в п. 2.1.12, не изменяется, а дополнительные здания учитываются коэффициентом непрерывности застройки Кп, который может стать больше 1.</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2.1.14. Существующие кварталы площадью более 3 га рекомендуется преобразовывать до меньших размеров посредством дополнительной прокладки проездов, пешеходных улиц и аллей.</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 Расчетные показатели в области озеленения территорий и мест массового отдыха населения.</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2.2.1. Для расчета потребности населения в озелененных территориях используется показатель – минимальный уровень обеспеченности населения озеленённой территорией в квадратных метрах на одного жителя. В озелененную территорию вместе с парками, озеленёнными территориями общего пользования (садами, скверами, бульварами) включаются озеленённые части территорий при объектах жилищного строительства, при объектах образования, здравоохранения, культуры, массового спорта, административно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управленческих и иных объектах. Указанный показатель, дифференцированный по элементам планировочной структуры, приведен в таблице 3.</w:t>
      </w:r>
    </w:p>
    <w:p w:rsidR="00F639AF" w:rsidRPr="007020C2" w:rsidRDefault="00F639AF" w:rsidP="00460401">
      <w:pPr>
        <w:spacing w:after="0" w:line="240" w:lineRule="auto"/>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3</w:t>
      </w:r>
    </w:p>
    <w:tbl>
      <w:tblPr>
        <w:tblW w:w="10073" w:type="dxa"/>
        <w:tblCellMar>
          <w:left w:w="0" w:type="dxa"/>
          <w:right w:w="0" w:type="dxa"/>
        </w:tblCellMar>
        <w:tblLook w:val="04A0"/>
      </w:tblPr>
      <w:tblGrid>
        <w:gridCol w:w="3836"/>
        <w:gridCol w:w="2126"/>
        <w:gridCol w:w="1985"/>
        <w:gridCol w:w="2126"/>
      </w:tblGrid>
      <w:tr w:rsidR="00460401" w:rsidRPr="007020C2" w:rsidTr="002B3923">
        <w:tc>
          <w:tcPr>
            <w:tcW w:w="3836"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Населенный пункт</w:t>
            </w:r>
          </w:p>
        </w:tc>
        <w:tc>
          <w:tcPr>
            <w:tcW w:w="6237"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озеленённой территорией,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460401" w:rsidRPr="007020C2" w:rsidTr="002B3923">
        <w:tc>
          <w:tcPr>
            <w:tcW w:w="383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в границах жилого </w:t>
            </w:r>
            <w:r w:rsidRPr="007020C2">
              <w:rPr>
                <w:rFonts w:ascii="Times New Roman" w:eastAsia="Times New Roman" w:hAnsi="Times New Roman" w:cs="Times New Roman"/>
                <w:lang w:eastAsia="ru-RU"/>
              </w:rPr>
              <w:lastRenderedPageBreak/>
              <w:t>квартала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 xml:space="preserve">в границах </w:t>
            </w:r>
            <w:r w:rsidRPr="007020C2">
              <w:rPr>
                <w:rFonts w:ascii="Times New Roman" w:eastAsia="Times New Roman" w:hAnsi="Times New Roman" w:cs="Times New Roman"/>
                <w:lang w:eastAsia="ru-RU"/>
              </w:rPr>
              <w:lastRenderedPageBreak/>
              <w:t>жилого района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 xml:space="preserve">в границах </w:t>
            </w:r>
            <w:r w:rsidRPr="007020C2">
              <w:rPr>
                <w:rFonts w:ascii="Times New Roman" w:eastAsia="Times New Roman" w:hAnsi="Times New Roman" w:cs="Times New Roman"/>
                <w:lang w:eastAsia="ru-RU"/>
              </w:rPr>
              <w:lastRenderedPageBreak/>
              <w:t>населенного пункта</w:t>
            </w:r>
          </w:p>
        </w:tc>
      </w:tr>
      <w:tr w:rsidR="00460401" w:rsidRPr="007020C2" w:rsidTr="002B3923">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Город Ногинск</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12,6 (4,4)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23,1 (14,2)</w:t>
            </w:r>
          </w:p>
        </w:tc>
      </w:tr>
      <w:tr w:rsidR="00460401" w:rsidRPr="007020C2" w:rsidTr="002B3923">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Города Старая Купавна и Электроугли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14,8 (5,2)</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25,0 (14,6)</w:t>
            </w:r>
          </w:p>
        </w:tc>
      </w:tr>
      <w:tr w:rsidR="00460401" w:rsidRPr="007020C2" w:rsidTr="002B3923">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Рабочие посёлки им. Воровского и Обухово</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7,6</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15,9 (5,5)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26,1 (15,5)</w:t>
            </w:r>
          </w:p>
        </w:tc>
      </w:tr>
      <w:tr w:rsidR="00460401" w:rsidRPr="007020C2" w:rsidTr="002B3923">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3 до 15 тыс. человек</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7,6</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15,9 (5,5)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26,1 (15,1)</w:t>
            </w:r>
          </w:p>
        </w:tc>
      </w:tr>
      <w:tr w:rsidR="00460401" w:rsidRPr="007020C2" w:rsidTr="002B3923">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1 до 3 тыс. человек</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25,4 (15,2)</w:t>
            </w:r>
          </w:p>
        </w:tc>
      </w:tr>
      <w:tr w:rsidR="00460401" w:rsidRPr="007020C2" w:rsidTr="002B3923">
        <w:tc>
          <w:tcPr>
            <w:tcW w:w="383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менее 1 тыс. человек</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22,8 (7,3)</w:t>
            </w:r>
          </w:p>
        </w:tc>
      </w:tr>
    </w:tbl>
    <w:p w:rsidR="00F639AF" w:rsidRPr="007020C2" w:rsidRDefault="00F639AF" w:rsidP="002B3923">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Примечание: в скобках приведены значения для парков и озеленённых территорий общего пользования.</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2.2.2. Площадь парков в населенных пунктах принимается из расчета не менее 3,0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/чел. В населенных пунктах с численностью населения до 3 тыс. чел. площадь парка (сквера) принимается не менее 0,9 га, с численностью населения до 1 тыс. чел.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не менее 0,5 га.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2.2.3. Пешеходная доступность до ближайшего бульвара, сквера или парка в городах и рабочих посёлках принимается:</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для жителей многоквартирных жилых домов не более 1,0 км;</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для жителей блокированных и индивидуальных жилых домов не более 1,5 км.</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2.2.4. Для жителей сельского населенного пункта транспортная доступность зон массового отдыха населения, расположенных за границей населенного пункта, принимается не более 30 минут.</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2.2.5. Нормативы интенсивности использования территорий рекреационного назначения характеризуются максимальной численностью единовременных посетителей рекреационных объектов, которая принимается для:</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городских пляжей 2000 чел/га;</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городских парков 100 чел/га;</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зон массового отдыха 70 чел/га;</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лесопарков 20 чел/га;</w:t>
      </w:r>
    </w:p>
    <w:p w:rsidR="00F639AF" w:rsidRPr="007020C2" w:rsidRDefault="00AE7596"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городских лесов 3 чел/га.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2.2.6. Допустимое долевое распределение площадей территорий объектов рекреационного назначения, занятых зелеными насаждениями, элементами благоустройства, сооружениями и застройкой, приведено в таблице 4.</w:t>
      </w:r>
    </w:p>
    <w:p w:rsidR="00F639AF" w:rsidRPr="007020C2" w:rsidRDefault="00F639AF" w:rsidP="00E22D88">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4</w:t>
      </w:r>
    </w:p>
    <w:tbl>
      <w:tblPr>
        <w:tblW w:w="9931" w:type="dxa"/>
        <w:tblInd w:w="150" w:type="dxa"/>
        <w:tblCellMar>
          <w:left w:w="0" w:type="dxa"/>
          <w:right w:w="0" w:type="dxa"/>
        </w:tblCellMar>
        <w:tblLook w:val="04A0"/>
      </w:tblPr>
      <w:tblGrid>
        <w:gridCol w:w="3552"/>
        <w:gridCol w:w="2268"/>
        <w:gridCol w:w="1985"/>
        <w:gridCol w:w="2126"/>
      </w:tblGrid>
      <w:tr w:rsidR="002B3923" w:rsidRPr="007020C2" w:rsidTr="002B3923">
        <w:tc>
          <w:tcPr>
            <w:tcW w:w="3552"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Объекты рекреационного </w:t>
            </w:r>
            <w:r w:rsidRPr="007020C2">
              <w:rPr>
                <w:rFonts w:ascii="Times New Roman" w:eastAsia="Times New Roman" w:hAnsi="Times New Roman" w:cs="Times New Roman"/>
                <w:lang w:eastAsia="ru-RU"/>
              </w:rPr>
              <w:lastRenderedPageBreak/>
              <w:t>назначения</w:t>
            </w:r>
          </w:p>
        </w:tc>
        <w:tc>
          <w:tcPr>
            <w:tcW w:w="6379"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Доля от общей площади территории объекта, %</w:t>
            </w:r>
          </w:p>
        </w:tc>
      </w:tr>
      <w:tr w:rsidR="002B3923" w:rsidRPr="007020C2" w:rsidTr="002B3923">
        <w:tc>
          <w:tcPr>
            <w:tcW w:w="355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2B3923">
            <w:pPr>
              <w:spacing w:after="0" w:line="240" w:lineRule="auto"/>
              <w:jc w:val="center"/>
              <w:rPr>
                <w:rFonts w:ascii="Times New Roman" w:eastAsia="Times New Roman" w:hAnsi="Times New Roman" w:cs="Times New Roman"/>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Территории зеленых насаждений и водоемов</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Аллеи, дорожки, площадки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Застроенные территории</w:t>
            </w:r>
          </w:p>
        </w:tc>
      </w:tr>
      <w:tr w:rsidR="002B3923" w:rsidRPr="007020C2" w:rsidTr="002B3923">
        <w:tc>
          <w:tcPr>
            <w:tcW w:w="3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Городские парки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70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28</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7</w:t>
            </w:r>
          </w:p>
        </w:tc>
      </w:tr>
      <w:tr w:rsidR="002B3923" w:rsidRPr="007020C2" w:rsidTr="002B3923">
        <w:tc>
          <w:tcPr>
            <w:tcW w:w="3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Скверы, размещаемые:</w:t>
            </w:r>
            <w:r w:rsidRPr="007020C2">
              <w:rPr>
                <w:rFonts w:ascii="Times New Roman" w:eastAsia="Times New Roman" w:hAnsi="Times New Roman" w:cs="Times New Roman"/>
                <w:lang w:eastAsia="ru-RU"/>
              </w:rPr>
              <w:br/>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на улицах общегородского значения и площадях;</w:t>
            </w:r>
            <w:r w:rsidRPr="007020C2">
              <w:rPr>
                <w:rFonts w:ascii="Times New Roman" w:eastAsia="Times New Roman" w:hAnsi="Times New Roman" w:cs="Times New Roman"/>
                <w:lang w:eastAsia="ru-RU"/>
              </w:rPr>
              <w:br/>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в жилых районах, на улицах местного значения, перед отдельными зданиями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p>
          <w:p w:rsidR="00F639AF" w:rsidRPr="007020C2" w:rsidRDefault="00F639AF" w:rsidP="002B3923">
            <w:pPr>
              <w:spacing w:after="24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75</w:t>
            </w:r>
          </w:p>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p>
          <w:p w:rsidR="00F639AF" w:rsidRPr="007020C2" w:rsidRDefault="00F639AF" w:rsidP="002B3923">
            <w:pPr>
              <w:spacing w:after="24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40</w:t>
            </w:r>
          </w:p>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2B3923" w:rsidRPr="007020C2" w:rsidTr="002B3923">
        <w:tc>
          <w:tcPr>
            <w:tcW w:w="3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Бульвары шириной:</w:t>
            </w:r>
            <w:r w:rsidRPr="007020C2">
              <w:rPr>
                <w:rFonts w:ascii="Times New Roman" w:eastAsia="Times New Roman" w:hAnsi="Times New Roman" w:cs="Times New Roman"/>
                <w:lang w:eastAsia="ru-RU"/>
              </w:rPr>
              <w:br/>
              <w:t>15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24 м;</w:t>
            </w:r>
            <w:r w:rsidRPr="007020C2">
              <w:rPr>
                <w:rFonts w:ascii="Times New Roman" w:eastAsia="Times New Roman" w:hAnsi="Times New Roman" w:cs="Times New Roman"/>
                <w:lang w:eastAsia="ru-RU"/>
              </w:rPr>
              <w:br/>
              <w:t>25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50 м</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p>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75</w:t>
            </w:r>
            <w:r w:rsidRPr="007020C2">
              <w:rPr>
                <w:rFonts w:ascii="Times New Roman" w:eastAsia="Times New Roman" w:hAnsi="Times New Roman" w:cs="Times New Roman"/>
                <w:lang w:eastAsia="ru-RU"/>
              </w:rPr>
              <w:br/>
              <w:t>75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p>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30</w:t>
            </w:r>
            <w:r w:rsidRPr="007020C2">
              <w:rPr>
                <w:rFonts w:ascii="Times New Roman" w:eastAsia="Times New Roman" w:hAnsi="Times New Roman" w:cs="Times New Roman"/>
                <w:lang w:eastAsia="ru-RU"/>
              </w:rPr>
              <w:br/>
              <w:t>17</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w:t>
            </w:r>
          </w:p>
        </w:tc>
      </w:tr>
      <w:tr w:rsidR="002B3923" w:rsidRPr="007020C2" w:rsidTr="002B3923">
        <w:tc>
          <w:tcPr>
            <w:tcW w:w="3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Городские леса и лесопарки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93</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97</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2.3. Расчетные показатели для производственных территорий.</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2.3.1. Для расчета предельных параметров проектируемых территорий производственного назначения в городском округе в части допустимой интенсивности использования территорий применяется показатель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максимальный коэффициент застройки земельного участка, приведенный в таблице 5.</w:t>
      </w:r>
    </w:p>
    <w:p w:rsidR="00F639AF" w:rsidRPr="007020C2" w:rsidRDefault="00F639AF" w:rsidP="00E22D88">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5</w:t>
      </w:r>
    </w:p>
    <w:tbl>
      <w:tblPr>
        <w:tblW w:w="4827" w:type="pct"/>
        <w:tblInd w:w="150" w:type="dxa"/>
        <w:tblCellMar>
          <w:left w:w="0" w:type="dxa"/>
          <w:right w:w="0" w:type="dxa"/>
        </w:tblCellMar>
        <w:tblLook w:val="04A0"/>
      </w:tblPr>
      <w:tblGrid>
        <w:gridCol w:w="7022"/>
        <w:gridCol w:w="2710"/>
      </w:tblGrid>
      <w:tr w:rsidR="002B3923" w:rsidRPr="007020C2" w:rsidTr="002B3923">
        <w:trPr>
          <w:tblHeader/>
        </w:trPr>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Виды объектов</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Максимальный коэффициент застройки земельного участка, %</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Коммунальные объекты (производство, передача и распределение электроэнергии, газа, пара и горячей воды; сбор, очистка и распределение воды; удаление сточных вод и отходов)</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Складские объекты</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Объекты транспорта</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 Объекты оптовой торговли</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Производственные объекты:</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производство пищевых продуктов, химическое производство, производство резиновых и пластмассовых изделий, обработка вторичного сырья</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текстильное и швейное производство, производство кожи, изделий из кожи, обуви</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65</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обработка древесины и производство изделий из дерева, производство мебели, целлюлозы, бумаги, картона и изделий из них</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издательская и полиграфическая деятельность, производство машин и оборудования</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55</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металлургическое производство и производство готовых металлических изделий</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производство оптического и электрооборудования</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производство транспортных средств и оборудования</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55</w:t>
            </w:r>
          </w:p>
        </w:tc>
      </w:tr>
      <w:tr w:rsidR="002B3923" w:rsidRPr="007020C2" w:rsidTr="002B3923">
        <w:tc>
          <w:tcPr>
            <w:tcW w:w="71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иные виды производства</w:t>
            </w:r>
          </w:p>
        </w:tc>
        <w:tc>
          <w:tcPr>
            <w:tcW w:w="27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B3923">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Примечание: коэффициент застройки земельного участка на производственной территории определяется как  отношение площади территории земельного участка, застроенной зданиями, строениями и сооружениями, к общей площади земельного участка, выраженное в процентах.</w:t>
      </w:r>
    </w:p>
    <w:p w:rsidR="00E02283" w:rsidRPr="007020C2" w:rsidRDefault="00E02283" w:rsidP="00E22D88">
      <w:pPr>
        <w:spacing w:after="0"/>
        <w:ind w:firstLine="567"/>
        <w:jc w:val="both"/>
        <w:textAlignment w:val="baseline"/>
        <w:rPr>
          <w:rFonts w:ascii="Times New Roman" w:eastAsia="Times New Roman" w:hAnsi="Times New Roman" w:cs="Times New Roman"/>
          <w:lang w:eastAsia="ru-RU"/>
        </w:rPr>
      </w:pP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 Расчетные показатели объектов социального и коммунально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2.4.1. Виды и примерный состав объектов социального и коммунально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в границах жилого квартала</w:t>
      </w:r>
      <w:r w:rsidR="007E35EB" w:rsidRPr="007020C2">
        <w:rPr>
          <w:rFonts w:ascii="Times New Roman" w:eastAsia="Times New Roman" w:hAnsi="Times New Roman" w:cs="Times New Roman"/>
          <w:sz w:val="24"/>
          <w:szCs w:val="24"/>
          <w:lang w:eastAsia="ru-RU"/>
        </w:rPr>
        <w:t>, жилого района</w:t>
      </w:r>
      <w:r w:rsidRPr="007020C2">
        <w:rPr>
          <w:rFonts w:ascii="Times New Roman" w:eastAsia="Times New Roman" w:hAnsi="Times New Roman" w:cs="Times New Roman"/>
          <w:sz w:val="24"/>
          <w:szCs w:val="24"/>
          <w:lang w:eastAsia="ru-RU"/>
        </w:rPr>
        <w:t xml:space="preserve"> и </w:t>
      </w:r>
      <w:r w:rsidR="007E35EB" w:rsidRPr="007020C2">
        <w:rPr>
          <w:rFonts w:ascii="Times New Roman" w:eastAsia="Times New Roman" w:hAnsi="Times New Roman" w:cs="Times New Roman"/>
          <w:sz w:val="24"/>
          <w:szCs w:val="24"/>
          <w:lang w:eastAsia="ru-RU"/>
        </w:rPr>
        <w:t>городского населенного пункта</w:t>
      </w:r>
      <w:r w:rsidRPr="007020C2">
        <w:rPr>
          <w:rFonts w:ascii="Times New Roman" w:eastAsia="Times New Roman" w:hAnsi="Times New Roman" w:cs="Times New Roman"/>
          <w:sz w:val="24"/>
          <w:szCs w:val="24"/>
          <w:lang w:eastAsia="ru-RU"/>
        </w:rPr>
        <w:t xml:space="preserve"> приведен</w:t>
      </w:r>
      <w:r w:rsidR="007E35EB" w:rsidRPr="007020C2">
        <w:rPr>
          <w:rFonts w:ascii="Times New Roman" w:eastAsia="Times New Roman" w:hAnsi="Times New Roman" w:cs="Times New Roman"/>
          <w:sz w:val="24"/>
          <w:szCs w:val="24"/>
          <w:lang w:eastAsia="ru-RU"/>
        </w:rPr>
        <w:t>ы</w:t>
      </w:r>
      <w:r w:rsidRPr="007020C2">
        <w:rPr>
          <w:rFonts w:ascii="Times New Roman" w:eastAsia="Times New Roman" w:hAnsi="Times New Roman" w:cs="Times New Roman"/>
          <w:sz w:val="24"/>
          <w:szCs w:val="24"/>
          <w:lang w:eastAsia="ru-RU"/>
        </w:rPr>
        <w:t xml:space="preserve"> в таблице 6.</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2.4.2. При расчете минимально необходимых размеров территории для размещения объектов местного значения в границах жилого квартала, жилого района и населенного пункта применяется показатель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минимальный уровень обеспеченности населения площадью территории для размещения объектов в расчете на человека. При расчете этого показателя для сельского населенного пункта допускается учитывать недостающие объекты, расположенные за границей населенного пункта в границах городского округа.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2.4.3. Минимальный уровень обеспеченности населения площадью территории для размещения объектов в городе Ногинске приведен в таблице 7, в городах Старая Купавна  и Электроугли приведен в таблице 8, в рабочих посёлках им. Воровского и Обухово приведен в таблице 9, в сельских населенных пунктах приведен в таблицах 10 и 11.</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2.4.4. В таблицах 7, 8 и 9 минимальный уровень обеспеченности населения площадью территории для размещения объектов в границах квартала приведен в графе «в границах жилого квартала со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со средней этажностью жилых домов»; в границах </w:t>
      </w:r>
      <w:r w:rsidR="00E878D5" w:rsidRPr="007020C2">
        <w:rPr>
          <w:rFonts w:ascii="Times New Roman" w:eastAsia="Times New Roman" w:hAnsi="Times New Roman" w:cs="Times New Roman"/>
          <w:sz w:val="24"/>
          <w:szCs w:val="24"/>
          <w:lang w:eastAsia="ru-RU"/>
        </w:rPr>
        <w:t xml:space="preserve">в границах населенного пункта </w:t>
      </w:r>
      <w:r w:rsidRPr="007020C2">
        <w:rPr>
          <w:rFonts w:ascii="Times New Roman" w:eastAsia="Times New Roman" w:hAnsi="Times New Roman" w:cs="Times New Roman"/>
          <w:sz w:val="24"/>
          <w:szCs w:val="24"/>
          <w:lang w:eastAsia="ru-RU"/>
        </w:rPr>
        <w:t xml:space="preserve">определяется как сумма площади в жилом районе и дополнительной площади в </w:t>
      </w:r>
      <w:r w:rsidR="00E878D5" w:rsidRPr="007020C2">
        <w:rPr>
          <w:rFonts w:ascii="Times New Roman" w:eastAsia="Times New Roman" w:hAnsi="Times New Roman" w:cs="Times New Roman"/>
          <w:sz w:val="24"/>
          <w:szCs w:val="24"/>
          <w:lang w:eastAsia="ru-RU"/>
        </w:rPr>
        <w:t>населенного пункта</w:t>
      </w:r>
      <w:r w:rsidRPr="007020C2">
        <w:rPr>
          <w:rFonts w:ascii="Times New Roman" w:eastAsia="Times New Roman" w:hAnsi="Times New Roman" w:cs="Times New Roman"/>
          <w:sz w:val="24"/>
          <w:szCs w:val="24"/>
          <w:lang w:eastAsia="ru-RU"/>
        </w:rPr>
        <w:t>, приведенной в графе «дополнительно в границах населенного пункта».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В таблице 10 минимальный уровень обеспеченности населения площадью территории для размещения объектов в границах квартала приведен в графе «в границах жилого квартала»; в границах сельского населенного пункта определяется как сумма площади в квартале и дополнительной площади в населенном пункте, приведенной в графе «дополнительно в границах населенного пункта».</w:t>
      </w:r>
    </w:p>
    <w:p w:rsidR="00F639AF" w:rsidRPr="007020C2" w:rsidRDefault="00F639AF" w:rsidP="00E22D8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lastRenderedPageBreak/>
        <w:t>В таблице 11 минимальный уровень обеспеченности населения площадью территории для размещения объектов в границах сельского населенного пункта приведен в графе «в границах населенного пункта»; в графе «дополнительно в границах городского округа» указывается потребность в площади территории для размещения объектов, обслуживающих жителей сельского населенного пункта за его границей.</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6</w:t>
      </w:r>
    </w:p>
    <w:tbl>
      <w:tblPr>
        <w:tblW w:w="4854" w:type="pct"/>
        <w:tblInd w:w="150" w:type="dxa"/>
        <w:tblLayout w:type="fixed"/>
        <w:tblCellMar>
          <w:left w:w="0" w:type="dxa"/>
          <w:right w:w="0" w:type="dxa"/>
        </w:tblCellMar>
        <w:tblLook w:val="04A0"/>
      </w:tblPr>
      <w:tblGrid>
        <w:gridCol w:w="1960"/>
        <w:gridCol w:w="2260"/>
        <w:gridCol w:w="2213"/>
        <w:gridCol w:w="3354"/>
      </w:tblGrid>
      <w:tr w:rsidR="00C70126" w:rsidRPr="007020C2" w:rsidTr="00C70126">
        <w:trPr>
          <w:tblHeader/>
        </w:trPr>
        <w:tc>
          <w:tcPr>
            <w:tcW w:w="1987"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Виды объектов</w:t>
            </w:r>
          </w:p>
        </w:tc>
        <w:tc>
          <w:tcPr>
            <w:tcW w:w="7936"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C70126">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Примерный состав объектов в границах</w:t>
            </w:r>
          </w:p>
        </w:tc>
      </w:tr>
      <w:tr w:rsidR="00C70126" w:rsidRPr="007020C2" w:rsidTr="00C70126">
        <w:trPr>
          <w:trHeight w:val="543"/>
          <w:tblHeader/>
        </w:trPr>
        <w:tc>
          <w:tcPr>
            <w:tcW w:w="198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0126" w:rsidRPr="007020C2" w:rsidRDefault="00C70126" w:rsidP="00F639AF">
            <w:pPr>
              <w:spacing w:after="0" w:line="240" w:lineRule="auto"/>
              <w:rPr>
                <w:rFonts w:ascii="Times New Roman" w:eastAsia="Times New Roman" w:hAnsi="Times New Roman" w:cs="Times New Roman"/>
                <w:lang w:eastAsia="ru-RU"/>
              </w:rPr>
            </w:pP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жилого квартала</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жилого район</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jc w:val="center"/>
              <w:textAlignment w:val="baseline"/>
              <w:rPr>
                <w:rFonts w:ascii="Times New Roman" w:eastAsia="Times New Roman" w:hAnsi="Times New Roman" w:cs="Times New Roman"/>
                <w:lang w:eastAsia="ru-RU"/>
              </w:rPr>
            </w:pPr>
            <w:r w:rsidRPr="007020C2">
              <w:rPr>
                <w:rFonts w:ascii="Times New Roman" w:hAnsi="Times New Roman" w:cs="Times New Roman"/>
                <w:sz w:val="24"/>
                <w:szCs w:val="24"/>
              </w:rPr>
              <w:t>городского населенного пункта</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спортивные площадки</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Физкультурно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оздоровительные комплексы, плоскостные сооружения</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Стадионы, дворцы спорта, спортивные залы, плавательные бассейны, в том числе необходимые для проведения официальных физкультурно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оздоровительных и спортивных мероприятий, учебно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тренировочного процесса спортивных сборных команд (резерва таких команд) городского округа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Магазины продовольственных и промышленных товаров, пункты общественного питания</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Торговые центры, рестораны, кафе, бары, столовые, кулинарии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Торговые комплексы, универсальные и специализированные рынки, ярмарки, рестораны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Приемные пункты химчисток и прачечных, салоны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парикмахерские</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Ателье, ремонтные мастерские, общественные туалеты</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Гостиницы, дома быта, бани, предприятия ритуальных услуг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 услуг</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Отделения почтовой связи, отделения банков</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Проектные и конструкторские бюро, офисные центры, юридические консультации, риэлтерские и туристические агентства, страховые компании, нотариальные конторы, ломбарды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Аптечные учреждения, молочные кухни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Больничные учреждения, амбулаторно</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поликлинические учреждения, фельдшерско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акушерские пункты, учреждения скорой медицинской помощи, учреждения охраны материнства и детства в т.ч. родильный дом, женская консультация, санаторно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lastRenderedPageBreak/>
              <w:t>курортные учреждения, учреждения здравоохранения по надзору в сфере защиты прав потребителей и благополучия человека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Объекты образования</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Муниципальные дошкольные образовательные организации, муниципальные общеобразовательные организации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Образовательные специализированные организации (школы</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интернаты, межшкольные учебные комбинаты, вечерние школы), организации среднего профессионального образования, организации высшего образования, образовательные специализированные организации (автошколы, оборонные учебные заведения), организации дополнительного образования детей (детско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юношеские спортивные школы, центры детского творчества, музыкальные школы, станции юных техников)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социального обслуживания</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Центры социального обслуживания населения, территориальные центры социальной помощи семье и детям, социально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реабилитационные центры для несовершеннолетних, центры помощи детям, оставшимся без попечения родителей,  социальные приюты для детей и подростков, центры психолого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педагогической помощи населению,  центры социальной помощи на дому, стационарные учреждения социального обслуживания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культуры и досуга</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Дворцы культуры, музеи, музеи</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усадьбы, выставочные залы, кинотеатры, библиотеки, досуговые центры, клубы и учреждения клубного типа </w:t>
            </w:r>
          </w:p>
        </w:tc>
      </w:tr>
      <w:tr w:rsidR="00C70126" w:rsidRPr="007020C2" w:rsidTr="00C70126">
        <w:tc>
          <w:tcPr>
            <w:tcW w:w="19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ind w:left="-8" w:right="-148"/>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w:t>
            </w:r>
            <w:r w:rsidRPr="007020C2">
              <w:rPr>
                <w:rFonts w:ascii="Times New Roman" w:eastAsia="Times New Roman" w:hAnsi="Times New Roman" w:cs="Times New Roman"/>
                <w:lang w:eastAsia="ru-RU"/>
              </w:rPr>
              <w:lastRenderedPageBreak/>
              <w:t>е и управленческие объекты</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C70126" w:rsidRPr="007020C2" w:rsidRDefault="00C70126" w:rsidP="00C70126">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Объекты администрации </w:t>
            </w:r>
            <w:r w:rsidRPr="007020C2">
              <w:rPr>
                <w:rFonts w:ascii="Times New Roman" w:eastAsia="Times New Roman" w:hAnsi="Times New Roman" w:cs="Times New Roman"/>
                <w:lang w:eastAsia="ru-RU"/>
              </w:rPr>
              <w:lastRenderedPageBreak/>
              <w:t>муниципальных образований, судов, прокуратуры, учреждений юстиции, управления ЗАГС, УВД, военного комиссариата, УФНС, пожарного депо, управления пенсионного фонда, многофункциональные центры предоставления государственных и муниципальных услуг, общественных организаций и объединений </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lastRenderedPageBreak/>
        <w:t>  </w:t>
      </w:r>
    </w:p>
    <w:p w:rsidR="00F639AF" w:rsidRPr="007020C2" w:rsidRDefault="00F639AF" w:rsidP="00B8681B">
      <w:pPr>
        <w:spacing w:after="0" w:line="240" w:lineRule="auto"/>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7</w:t>
      </w:r>
    </w:p>
    <w:tbl>
      <w:tblPr>
        <w:tblW w:w="4855" w:type="pct"/>
        <w:tblInd w:w="150" w:type="dxa"/>
        <w:tblCellMar>
          <w:left w:w="0" w:type="dxa"/>
          <w:right w:w="0" w:type="dxa"/>
        </w:tblCellMar>
        <w:tblLook w:val="04A0"/>
      </w:tblPr>
      <w:tblGrid>
        <w:gridCol w:w="2798"/>
        <w:gridCol w:w="861"/>
        <w:gridCol w:w="851"/>
        <w:gridCol w:w="868"/>
        <w:gridCol w:w="833"/>
        <w:gridCol w:w="886"/>
        <w:gridCol w:w="906"/>
        <w:gridCol w:w="1786"/>
      </w:tblGrid>
      <w:tr w:rsidR="00BB0C24" w:rsidRPr="007020C2" w:rsidTr="00BB0C24">
        <w:tc>
          <w:tcPr>
            <w:tcW w:w="284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 объектов</w:t>
            </w:r>
          </w:p>
        </w:tc>
        <w:tc>
          <w:tcPr>
            <w:tcW w:w="7080" w:type="dxa"/>
            <w:gridSpan w:val="7"/>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площадью территории,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BB0C24" w:rsidRPr="007020C2" w:rsidTr="00BB0C24">
        <w:tc>
          <w:tcPr>
            <w:tcW w:w="284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2618"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жилого квартала со средней этажностью жилых домов</w:t>
            </w:r>
          </w:p>
        </w:tc>
        <w:tc>
          <w:tcPr>
            <w:tcW w:w="2666"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жилого района со средней этажностью жилых домов</w:t>
            </w:r>
          </w:p>
        </w:tc>
        <w:tc>
          <w:tcPr>
            <w:tcW w:w="1796"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ind w:left="-79"/>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населенного пункта</w:t>
            </w:r>
          </w:p>
        </w:tc>
      </w:tr>
      <w:tr w:rsidR="00BB0C24" w:rsidRPr="007020C2" w:rsidTr="00BB0C24">
        <w:tc>
          <w:tcPr>
            <w:tcW w:w="284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 эт.</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 эт.</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 эт.</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 эт.</w:t>
            </w:r>
          </w:p>
        </w:tc>
        <w:tc>
          <w:tcPr>
            <w:tcW w:w="1796"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639AF" w:rsidRPr="007020C2" w:rsidRDefault="00F639AF" w:rsidP="00F639AF">
            <w:pPr>
              <w:spacing w:after="0" w:line="240" w:lineRule="auto"/>
              <w:rPr>
                <w:rFonts w:ascii="Times New Roman" w:eastAsia="Times New Roman" w:hAnsi="Times New Roman" w:cs="Times New Roman"/>
                <w:lang w:eastAsia="ru-RU"/>
              </w:rPr>
            </w:pP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0,92</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0,87</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0,85</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1,63</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1,54</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0,56</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0,26</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0,16</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1,27</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1,21</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0,07</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0,28</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0,25</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0,05</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других услуг</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0,84</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0,76</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0,73</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0,14</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0,28</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0,25</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0,54</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образования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6,46</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5,43</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4,92</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социального обслуживания*</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Объекты культуры и досуга</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0,27</w:t>
            </w:r>
          </w:p>
        </w:tc>
      </w:tr>
      <w:tr w:rsidR="00BB0C24" w:rsidRPr="007020C2" w:rsidTr="00BB0C24">
        <w:tc>
          <w:tcPr>
            <w:tcW w:w="2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6260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Административные и управленческие объекты*</w:t>
            </w:r>
          </w:p>
        </w:tc>
        <w:tc>
          <w:tcPr>
            <w:tcW w:w="87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2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0,49</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Примечания:</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минимальный уровень обеспеченности населения площадью территории для промежуточных значений средней этажности жилых домов рассчитываются методом линейной интерполяции;</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минимальный уровень обеспеченности населения площадью территории для значений средней этажности жилых домов выше 9 этажей в случаях ранее спроектированных и построенных жилых домов, этажность которых выше установленной максимально допустимой, и в случаях, допускающих строительство с отклонением от установленной максимально допустимой этажности, предусмотренных нормативами градостроительного проектирования Московской области, рассчитываются методом линейной экстраполяции.</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____________</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включая объекты, не связанные с решением вопросов местного значения городского округа (например, государственные учреждения, отделения пенсионного фонда), расчетные показатели приводятся в информационно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справочных целях и не являются предметом утверждения в местных нормативах.</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8</w:t>
      </w:r>
    </w:p>
    <w:tbl>
      <w:tblPr>
        <w:tblW w:w="4854" w:type="pct"/>
        <w:tblInd w:w="150" w:type="dxa"/>
        <w:tblCellMar>
          <w:left w:w="0" w:type="dxa"/>
          <w:right w:w="0" w:type="dxa"/>
        </w:tblCellMar>
        <w:tblLook w:val="04A0"/>
      </w:tblPr>
      <w:tblGrid>
        <w:gridCol w:w="2765"/>
        <w:gridCol w:w="856"/>
        <w:gridCol w:w="848"/>
        <w:gridCol w:w="861"/>
        <w:gridCol w:w="835"/>
        <w:gridCol w:w="874"/>
        <w:gridCol w:w="889"/>
        <w:gridCol w:w="1859"/>
      </w:tblGrid>
      <w:tr w:rsidR="00BB0C24" w:rsidRPr="007020C2" w:rsidTr="00BB0C24">
        <w:tc>
          <w:tcPr>
            <w:tcW w:w="280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 объектов</w:t>
            </w:r>
          </w:p>
        </w:tc>
        <w:tc>
          <w:tcPr>
            <w:tcW w:w="7114" w:type="dxa"/>
            <w:gridSpan w:val="7"/>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площадью территории,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BB0C24" w:rsidRPr="007020C2" w:rsidTr="00BB0C24">
        <w:tc>
          <w:tcPr>
            <w:tcW w:w="280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BB0C24">
            <w:pPr>
              <w:spacing w:after="0" w:line="240" w:lineRule="auto"/>
              <w:jc w:val="center"/>
              <w:rPr>
                <w:rFonts w:ascii="Times New Roman" w:eastAsia="Times New Roman" w:hAnsi="Times New Roman" w:cs="Times New Roman"/>
                <w:lang w:eastAsia="ru-RU"/>
              </w:rPr>
            </w:pPr>
          </w:p>
        </w:tc>
        <w:tc>
          <w:tcPr>
            <w:tcW w:w="2601"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жилого квартала со средней этажностью жилых домов</w:t>
            </w:r>
          </w:p>
        </w:tc>
        <w:tc>
          <w:tcPr>
            <w:tcW w:w="2636"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жилого района со средней этажностью жилых домов</w:t>
            </w:r>
          </w:p>
        </w:tc>
        <w:tc>
          <w:tcPr>
            <w:tcW w:w="1877"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ind w:left="-116"/>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населенного пункта</w:t>
            </w:r>
          </w:p>
        </w:tc>
      </w:tr>
      <w:tr w:rsidR="00BB0C24" w:rsidRPr="007020C2" w:rsidTr="00BB0C24">
        <w:tc>
          <w:tcPr>
            <w:tcW w:w="280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эт.</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 эт.</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эт.</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 эт.</w:t>
            </w:r>
          </w:p>
        </w:tc>
        <w:tc>
          <w:tcPr>
            <w:tcW w:w="1877"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639AF" w:rsidRPr="007020C2" w:rsidRDefault="00F639AF" w:rsidP="00F639AF">
            <w:pPr>
              <w:spacing w:after="0" w:line="240" w:lineRule="auto"/>
              <w:rPr>
                <w:rFonts w:ascii="Times New Roman" w:eastAsia="Times New Roman" w:hAnsi="Times New Roman" w:cs="Times New Roman"/>
                <w:lang w:eastAsia="ru-RU"/>
              </w:rPr>
            </w:pP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1,06</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1,03</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1,02</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1,88</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1,83</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1,80</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0,57</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0,38</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1,60</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1,52</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1,48</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0,16</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0,13</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0,32</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0,30</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0,05</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других услуг</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0,96</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0,91</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0,89</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0,14</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0,32</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0,30</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0,54</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Объекты образования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7,14</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6,54</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6,22</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социального обслуживания*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культуры и досуга</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0,27</w:t>
            </w:r>
          </w:p>
        </w:tc>
      </w:tr>
      <w:tr w:rsidR="00BB0C24" w:rsidRPr="007020C2" w:rsidTr="00BB0C24">
        <w:tc>
          <w:tcPr>
            <w:tcW w:w="28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6260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Административные и управленческие объекты*</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4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87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0,49</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Примечание: минимальный уровень обеспеченности населения площадью территории для промежуточных значений средней этажности жилых домов рассчитываются методом линейной интерполяции;</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____________</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включая объекты, не связанные с решением вопросов местного значения городского округа (например, ВУЗы, государственные учреждения, отделения пенсионного фонда), расчетные показатели приводятся в информационно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справочных целях и не являются предметом утверждения в местных нормативах.</w:t>
      </w:r>
    </w:p>
    <w:p w:rsidR="00F639AF" w:rsidRPr="007020C2" w:rsidRDefault="00F639AF" w:rsidP="00B8681B">
      <w:pPr>
        <w:spacing w:after="0" w:line="240" w:lineRule="auto"/>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9</w:t>
      </w:r>
    </w:p>
    <w:tbl>
      <w:tblPr>
        <w:tblW w:w="4854" w:type="pct"/>
        <w:tblInd w:w="150" w:type="dxa"/>
        <w:tblCellMar>
          <w:left w:w="0" w:type="dxa"/>
          <w:right w:w="0" w:type="dxa"/>
        </w:tblCellMar>
        <w:tblLook w:val="04A0"/>
      </w:tblPr>
      <w:tblGrid>
        <w:gridCol w:w="2802"/>
        <w:gridCol w:w="1448"/>
        <w:gridCol w:w="1069"/>
        <w:gridCol w:w="1285"/>
        <w:gridCol w:w="1210"/>
        <w:gridCol w:w="1973"/>
      </w:tblGrid>
      <w:tr w:rsidR="00BB0C24" w:rsidRPr="007020C2" w:rsidTr="00BB0C24">
        <w:tc>
          <w:tcPr>
            <w:tcW w:w="283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 объектов</w:t>
            </w:r>
          </w:p>
        </w:tc>
        <w:tc>
          <w:tcPr>
            <w:tcW w:w="7088" w:type="dxa"/>
            <w:gridSpan w:val="5"/>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площадью территории,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BB0C24" w:rsidRPr="007020C2" w:rsidTr="00BB0C24">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BB0C24">
            <w:pPr>
              <w:spacing w:after="0" w:line="240" w:lineRule="auto"/>
              <w:jc w:val="center"/>
              <w:rPr>
                <w:rFonts w:ascii="Times New Roman" w:eastAsia="Times New Roman" w:hAnsi="Times New Roman" w:cs="Times New Roman"/>
                <w:lang w:eastAsia="ru-RU"/>
              </w:rPr>
            </w:pPr>
          </w:p>
        </w:tc>
        <w:tc>
          <w:tcPr>
            <w:tcW w:w="257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жилого квартала со средней этажностью жилых домов</w:t>
            </w:r>
          </w:p>
        </w:tc>
        <w:tc>
          <w:tcPr>
            <w:tcW w:w="2532"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жилого района со средней этажностью жилых домов</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населенного пункта</w:t>
            </w:r>
          </w:p>
        </w:tc>
      </w:tr>
      <w:tr w:rsidR="00BB0C24" w:rsidRPr="007020C2" w:rsidTr="00BB0C24">
        <w:tc>
          <w:tcPr>
            <w:tcW w:w="283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802A2">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802A2">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эт.</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802A2">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802A2">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эт</w:t>
            </w:r>
          </w:p>
        </w:tc>
        <w:tc>
          <w:tcPr>
            <w:tcW w:w="1985"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639AF" w:rsidRPr="007020C2" w:rsidRDefault="00F639AF" w:rsidP="00F639AF">
            <w:pPr>
              <w:spacing w:after="0" w:line="240" w:lineRule="auto"/>
              <w:rPr>
                <w:rFonts w:ascii="Times New Roman" w:eastAsia="Times New Roman" w:hAnsi="Times New Roman" w:cs="Times New Roman"/>
                <w:lang w:eastAsia="ru-RU"/>
              </w:rPr>
            </w:pP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1,12</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1,99</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1,94</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0,57</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0,38</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1,68</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0,25</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0,16</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0,34</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0,32</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0,05</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других услуг</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1,01</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0,96</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0,14</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0,34</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0,32</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0,54</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образования</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7,44</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6,85</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Объекты социального </w:t>
            </w:r>
            <w:r w:rsidRPr="007020C2">
              <w:rPr>
                <w:rFonts w:ascii="Times New Roman" w:eastAsia="Times New Roman" w:hAnsi="Times New Roman" w:cs="Times New Roman"/>
                <w:lang w:eastAsia="ru-RU"/>
              </w:rPr>
              <w:lastRenderedPageBreak/>
              <w:t>обслуживания*</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0</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Объекты культуры и досуга</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0,27</w:t>
            </w:r>
          </w:p>
        </w:tc>
      </w:tr>
      <w:tr w:rsidR="00BB0C24" w:rsidRPr="007020C2" w:rsidTr="00BB0C24">
        <w:tc>
          <w:tcPr>
            <w:tcW w:w="283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6260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Административные и управленческие объекты*</w:t>
            </w:r>
          </w:p>
        </w:tc>
        <w:tc>
          <w:tcPr>
            <w:tcW w:w="148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30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0,49</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Примечание: минимальный уровень обеспеченности населения площадью территории для промежуточных значений средней этажности жилых домов рассчитываются методом линейной интерполяции;</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____________</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включая объекты, не связанные с решением вопросов местного значения городского округа (например, государственные учреждения, отделения пенсионного фонда), расчетные показатели приводятся в информационно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справочных целях и не являются предметом утверждения в местных нормативах.</w:t>
      </w:r>
    </w:p>
    <w:p w:rsidR="00F639AF" w:rsidRPr="007020C2" w:rsidRDefault="00F639AF" w:rsidP="00B8681B">
      <w:pPr>
        <w:spacing w:after="0" w:line="240" w:lineRule="auto"/>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10</w:t>
      </w:r>
    </w:p>
    <w:tbl>
      <w:tblPr>
        <w:tblW w:w="4854" w:type="pct"/>
        <w:tblInd w:w="150" w:type="dxa"/>
        <w:tblCellMar>
          <w:left w:w="0" w:type="dxa"/>
          <w:right w:w="0" w:type="dxa"/>
        </w:tblCellMar>
        <w:tblLook w:val="04A0"/>
      </w:tblPr>
      <w:tblGrid>
        <w:gridCol w:w="4195"/>
        <w:gridCol w:w="2926"/>
        <w:gridCol w:w="2666"/>
      </w:tblGrid>
      <w:tr w:rsidR="00BB0C24" w:rsidRPr="007020C2" w:rsidTr="00B8681B">
        <w:tc>
          <w:tcPr>
            <w:tcW w:w="425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 объектов</w:t>
            </w:r>
          </w:p>
        </w:tc>
        <w:tc>
          <w:tcPr>
            <w:tcW w:w="5669"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площадью территории,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BB0C24" w:rsidRPr="007020C2" w:rsidTr="00B8681B">
        <w:tc>
          <w:tcPr>
            <w:tcW w:w="42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BB0C24">
            <w:pPr>
              <w:spacing w:after="0" w:line="240" w:lineRule="auto"/>
              <w:jc w:val="center"/>
              <w:rPr>
                <w:rFonts w:ascii="Times New Roman" w:eastAsia="Times New Roman" w:hAnsi="Times New Roman" w:cs="Times New Roman"/>
                <w:lang w:eastAsia="ru-RU"/>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жилого ква</w:t>
            </w:r>
            <w:r w:rsidR="00BB0C24" w:rsidRPr="007020C2">
              <w:rPr>
                <w:rFonts w:ascii="Times New Roman" w:eastAsia="Times New Roman" w:hAnsi="Times New Roman" w:cs="Times New Roman"/>
                <w:lang w:eastAsia="ru-RU"/>
              </w:rPr>
              <w:t>р</w:t>
            </w:r>
            <w:r w:rsidRPr="007020C2">
              <w:rPr>
                <w:rFonts w:ascii="Times New Roman" w:eastAsia="Times New Roman" w:hAnsi="Times New Roman" w:cs="Times New Roman"/>
                <w:lang w:eastAsia="ru-RU"/>
              </w:rPr>
              <w:t>тала</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B0C24">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населенного пункта</w:t>
            </w:r>
          </w:p>
        </w:tc>
      </w:tr>
      <w:tr w:rsidR="00BB0C24" w:rsidRPr="007020C2" w:rsidTr="00B8681B">
        <w:tc>
          <w:tcPr>
            <w:tcW w:w="9922"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3 до 15 тыс. человек</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1,12</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2,23</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0,57</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2,09</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0,25</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0,39</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других услуг</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1,15</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0,89</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образования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7,85</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социального обслуживания*</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культуры и досуга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0,27</w:t>
            </w:r>
          </w:p>
        </w:tc>
      </w:tr>
      <w:tr w:rsidR="00BB0C24"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Административные и управленческие объекты *</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0,49</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142153" w:rsidRPr="007020C2" w:rsidRDefault="00142153" w:rsidP="00F639AF">
      <w:pPr>
        <w:spacing w:after="0" w:line="240" w:lineRule="auto"/>
        <w:textAlignment w:val="baseline"/>
        <w:rPr>
          <w:rFonts w:ascii="Times New Roman" w:eastAsia="Times New Roman" w:hAnsi="Times New Roman" w:cs="Times New Roman"/>
          <w:color w:val="666666"/>
          <w:sz w:val="24"/>
          <w:szCs w:val="24"/>
          <w:lang w:eastAsia="ru-RU"/>
        </w:rPr>
      </w:pPr>
    </w:p>
    <w:p w:rsidR="00F639AF" w:rsidRPr="007020C2" w:rsidRDefault="00F639AF" w:rsidP="00B8681B">
      <w:pPr>
        <w:spacing w:after="0" w:line="240" w:lineRule="auto"/>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Таблица11</w:t>
      </w:r>
    </w:p>
    <w:tbl>
      <w:tblPr>
        <w:tblW w:w="4885" w:type="pct"/>
        <w:tblInd w:w="150" w:type="dxa"/>
        <w:tblCellMar>
          <w:left w:w="0" w:type="dxa"/>
          <w:right w:w="0" w:type="dxa"/>
        </w:tblCellMar>
        <w:tblLook w:val="04A0"/>
      </w:tblPr>
      <w:tblGrid>
        <w:gridCol w:w="4191"/>
        <w:gridCol w:w="61"/>
        <w:gridCol w:w="2924"/>
        <w:gridCol w:w="2673"/>
      </w:tblGrid>
      <w:tr w:rsidR="00167DAB" w:rsidRPr="007020C2" w:rsidTr="00B8681B">
        <w:tc>
          <w:tcPr>
            <w:tcW w:w="431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Вид объектов</w:t>
            </w:r>
          </w:p>
        </w:tc>
        <w:tc>
          <w:tcPr>
            <w:tcW w:w="5670"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площадью территории,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167DAB" w:rsidRPr="007020C2" w:rsidTr="00B8681B">
        <w:tc>
          <w:tcPr>
            <w:tcW w:w="431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167DAB">
            <w:pPr>
              <w:spacing w:after="0" w:line="240" w:lineRule="auto"/>
              <w:jc w:val="center"/>
              <w:rPr>
                <w:rFonts w:ascii="Times New Roman" w:eastAsia="Times New Roman" w:hAnsi="Times New Roman" w:cs="Times New Roman"/>
                <w:lang w:eastAsia="ru-RU"/>
              </w:rPr>
            </w:pPr>
          </w:p>
        </w:tc>
        <w:tc>
          <w:tcPr>
            <w:tcW w:w="29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населенного пункта</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дополнительно в границах городского округа</w:t>
            </w:r>
          </w:p>
        </w:tc>
      </w:tr>
      <w:tr w:rsidR="00167DAB" w:rsidRPr="007020C2" w:rsidTr="00B8681B">
        <w:tc>
          <w:tcPr>
            <w:tcW w:w="9986"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D723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от 1 до 3 тыс. человек</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3,15</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1,99</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780E69">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0,56</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0,05</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других услуг</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0,95</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0,14</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0,36</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0,18</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образования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7,90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социального обслуживания*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культуры и досуга</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0,19</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0,08</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Административные и управленческие объекты *</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0,34</w:t>
            </w:r>
          </w:p>
        </w:tc>
      </w:tr>
      <w:tr w:rsidR="00167DAB" w:rsidRPr="007020C2" w:rsidTr="00B8681B">
        <w:tc>
          <w:tcPr>
            <w:tcW w:w="9986" w:type="dxa"/>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 с численностью населения менее 1 тыс. человек</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3,19</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торговли и общественного питания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1,43</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бытового назначения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0,37</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0,05</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связи, финансовых, юридических и других услуг</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1,10</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0,37</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0,17</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образования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8,38</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социального обслуживания*</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0,11</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Объекты культуры и досуга</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0,27</w:t>
            </w:r>
          </w:p>
        </w:tc>
      </w:tr>
      <w:tr w:rsidR="00167DAB" w:rsidRPr="007020C2" w:rsidTr="00B8681B">
        <w:tc>
          <w:tcPr>
            <w:tcW w:w="425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Административные и управленческие объекты *</w:t>
            </w:r>
          </w:p>
        </w:tc>
        <w:tc>
          <w:tcPr>
            <w:tcW w:w="3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p>
        </w:tc>
        <w:tc>
          <w:tcPr>
            <w:tcW w:w="27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0,49</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color w:val="666666"/>
          <w:sz w:val="24"/>
          <w:szCs w:val="24"/>
          <w:lang w:eastAsia="ru-RU"/>
        </w:rPr>
        <w:t>____________</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включая объекты, не связанные с решением вопросов местного значения городского округа, расчетные показатели приводятся в информационно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справочных целях и не являются предметом утверждения в местных нормативах</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2.4.5. Для соблюдения условия минимальной обеспеченности жителей объектами (и территориями) прогнозируемое количество жителей в проектируемой многоквартирной застройке должно рассчитываться по максимуму, т.е. исходя из нижней границы жилищной обеспеченности 28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суммарной поэтажной площади наземных частей многоквартирных жилых домов, принятой при расчете максимальной плотности населения в нормативах градостроительного проектирования Московской области.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2.4.6. Проектная численность населения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в блокированных жилых домах), умноженному на среднюю численность семьи, исходя из допущения, что в одном индивидуальном жилом доме (блоке) будет проживать одна семья.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Проектная численность населения в жилом квартале (жилом рай</w:t>
      </w:r>
      <w:r w:rsidR="00FF6F04" w:rsidRPr="007020C2">
        <w:rPr>
          <w:rFonts w:ascii="Times New Roman" w:eastAsia="Times New Roman" w:hAnsi="Times New Roman" w:cs="Times New Roman"/>
          <w:sz w:val="24"/>
          <w:szCs w:val="24"/>
          <w:lang w:eastAsia="ru-RU"/>
        </w:rPr>
        <w:t>о</w:t>
      </w:r>
      <w:r w:rsidRPr="007020C2">
        <w:rPr>
          <w:rFonts w:ascii="Times New Roman" w:eastAsia="Times New Roman" w:hAnsi="Times New Roman" w:cs="Times New Roman"/>
          <w:sz w:val="24"/>
          <w:szCs w:val="24"/>
          <w:lang w:eastAsia="ru-RU"/>
        </w:rPr>
        <w:t>не) в целях определения потребности в различных объектах ра</w:t>
      </w:r>
      <w:r w:rsidR="00B62609" w:rsidRPr="007020C2">
        <w:rPr>
          <w:rFonts w:ascii="Times New Roman" w:eastAsia="Times New Roman" w:hAnsi="Times New Roman" w:cs="Times New Roman"/>
          <w:sz w:val="24"/>
          <w:szCs w:val="24"/>
          <w:lang w:eastAsia="ru-RU"/>
        </w:rPr>
        <w:t>с</w:t>
      </w:r>
      <w:r w:rsidRPr="007020C2">
        <w:rPr>
          <w:rFonts w:ascii="Times New Roman" w:eastAsia="Times New Roman" w:hAnsi="Times New Roman" w:cs="Times New Roman"/>
          <w:sz w:val="24"/>
          <w:szCs w:val="24"/>
          <w:lang w:eastAsia="ru-RU"/>
        </w:rPr>
        <w:t>считывается как сумма количества жителей в существующей (сохраняемой) застройке и количества прогнозируемых жителей в проектируемой жилой застройке.</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2.4.7. Минимальная обеспеченность населения объектами социального и коммунально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в виде емкостных характеристик предоставляемых в них услуг в расчете на 1 тыс. человек, принимается: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 услугами общественного питания – 40 посадочных мест;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 бытовыми услугами – 10,9 рабочих мест;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 единовременной пропускной способностью объектов спорта – 28 единиц;</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4) площадью спортивных залов – 106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5) площадью зеркала воды плавательных бассейнах  – 9,96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6) площадью спортивных плоскостных сооружений – 948,3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7) площадью торговых объектов местного значения – 772,9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в том числе по продаже продовольственных товаров – 264,7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непродовольственных товаров – 508,2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(при общем количестве объектов не менее 417); площадью торговых мест на розничных рынках – 1,33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Минимальная обеспеченность жителей местами в муниципальных дошкольных образовательных организациях принимается из расчета 85 % от количества детей в возрасте от 3 до 7 лет, а при отсутствии сведений о демографическом составе жителей, в том числе в проектируемой жилой застройке, из расчета 65 мест на 1 тыс. человек.</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Минимальная обеспеченность жителей местами в муниципальных общеобразовательных организациях принимается из расчета 100 % от количества детей в возрасте от 6 до 15 лет (1</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9 классы) и 50% от количества детей в возрасте от 15 до 17 лет (10</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11 классы) при обучении в одну смену, а при отсутствии сведений о демографическом составе жителей, в том числе в проектируемой жилой застройке, из расчета 135 мест на 1 тыс. человек.</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lastRenderedPageBreak/>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в детских и юношеских спортивных школах – 20 %;</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в школах по различным видам искусств – 12 %.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2.4.8. Предельно допустимый уровень обеспеченности жителей объектами культуры и досуга и их территориальной доступности приведены в таблице 12.</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Таблица12</w:t>
      </w:r>
    </w:p>
    <w:tbl>
      <w:tblPr>
        <w:tblW w:w="9923" w:type="dxa"/>
        <w:tblInd w:w="150" w:type="dxa"/>
        <w:tblCellMar>
          <w:left w:w="0" w:type="dxa"/>
          <w:right w:w="0" w:type="dxa"/>
        </w:tblCellMar>
        <w:tblLook w:val="04A0"/>
      </w:tblPr>
      <w:tblGrid>
        <w:gridCol w:w="709"/>
        <w:gridCol w:w="3119"/>
        <w:gridCol w:w="2976"/>
        <w:gridCol w:w="3119"/>
      </w:tblGrid>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п/п</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Наименование объекта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Минимально допустимый уровень обеспеченности</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Максимально допустимый уровень территориальной доступности</w:t>
            </w: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Общедоступная библиотека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20 тыс. чел.</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30 мин</w:t>
            </w: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Детская библиотека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10 тыс. детей</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30 мин</w:t>
            </w: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Точка доступа к полнотекстовым информационным ресурсам</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объекта на городской округ</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r w:rsidR="00167DAB" w:rsidRPr="007020C2" w:rsidTr="00167DAB">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Дом культуры</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объект на городской округ</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r w:rsidR="00167DAB" w:rsidRPr="007020C2" w:rsidTr="00167DAB">
        <w:tc>
          <w:tcPr>
            <w:tcW w:w="70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167DAB">
            <w:pPr>
              <w:spacing w:after="0" w:line="240" w:lineRule="auto"/>
              <w:ind w:left="-150" w:right="-150"/>
              <w:jc w:val="center"/>
              <w:rPr>
                <w:rFonts w:ascii="Times New Roman" w:eastAsia="Times New Roman" w:hAnsi="Times New Roman" w:cs="Times New Roman"/>
                <w:lang w:eastAsia="ru-RU"/>
              </w:rPr>
            </w:pPr>
          </w:p>
        </w:tc>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 посадочных мест на 1000 чел.</w:t>
            </w:r>
          </w:p>
        </w:tc>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639AF" w:rsidRPr="007020C2" w:rsidRDefault="00F639AF" w:rsidP="00F639AF">
            <w:pPr>
              <w:spacing w:after="0" w:line="240" w:lineRule="auto"/>
              <w:rPr>
                <w:rFonts w:ascii="Times New Roman" w:eastAsia="Times New Roman" w:hAnsi="Times New Roman" w:cs="Times New Roman"/>
                <w:lang w:eastAsia="ru-RU"/>
              </w:rPr>
            </w:pPr>
          </w:p>
        </w:tc>
      </w:tr>
      <w:tr w:rsidR="00167DAB" w:rsidRPr="007020C2" w:rsidTr="00167DAB">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Театр по видам искусств</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городской округ</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r w:rsidR="00167DAB" w:rsidRPr="007020C2" w:rsidTr="00167DAB">
        <w:tc>
          <w:tcPr>
            <w:tcW w:w="70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167DAB">
            <w:pPr>
              <w:spacing w:after="0" w:line="240" w:lineRule="auto"/>
              <w:ind w:left="-150" w:right="-150"/>
              <w:jc w:val="center"/>
              <w:rPr>
                <w:rFonts w:ascii="Times New Roman" w:eastAsia="Times New Roman" w:hAnsi="Times New Roman" w:cs="Times New Roman"/>
                <w:lang w:eastAsia="ru-RU"/>
              </w:rPr>
            </w:pPr>
          </w:p>
        </w:tc>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посадочных мест на 1000 чел.</w:t>
            </w:r>
          </w:p>
        </w:tc>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639AF" w:rsidRPr="007020C2" w:rsidRDefault="00F639AF" w:rsidP="00F639AF">
            <w:pPr>
              <w:spacing w:after="0" w:line="240" w:lineRule="auto"/>
              <w:rPr>
                <w:rFonts w:ascii="Times New Roman" w:eastAsia="Times New Roman" w:hAnsi="Times New Roman" w:cs="Times New Roman"/>
                <w:lang w:eastAsia="ru-RU"/>
              </w:rPr>
            </w:pP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Кинозал</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20 тыс. чел.</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64DF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00064DF8" w:rsidRPr="007020C2">
              <w:rPr>
                <w:rFonts w:ascii="Times New Roman" w:eastAsia="Times New Roman" w:hAnsi="Times New Roman" w:cs="Times New Roman"/>
                <w:lang w:eastAsia="ru-RU"/>
              </w:rPr>
              <w:t>30мин</w:t>
            </w:r>
            <w:r w:rsidRPr="007020C2">
              <w:rPr>
                <w:rFonts w:ascii="Times New Roman" w:eastAsia="Times New Roman" w:hAnsi="Times New Roman" w:cs="Times New Roman"/>
                <w:lang w:eastAsia="ru-RU"/>
              </w:rPr>
              <w:t>.</w:t>
            </w: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Краеведческий музей</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городской округ</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Тематический музей</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городской округ</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r w:rsidR="00167DAB" w:rsidRPr="007020C2" w:rsidTr="00167DAB">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Концертный зал</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городской округ</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r w:rsidR="00167DAB" w:rsidRPr="007020C2" w:rsidTr="00167DAB">
        <w:tc>
          <w:tcPr>
            <w:tcW w:w="70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167DAB">
            <w:pPr>
              <w:spacing w:after="0" w:line="240" w:lineRule="auto"/>
              <w:ind w:left="-150" w:right="-150"/>
              <w:jc w:val="center"/>
              <w:rPr>
                <w:rFonts w:ascii="Times New Roman" w:eastAsia="Times New Roman" w:hAnsi="Times New Roman" w:cs="Times New Roman"/>
                <w:lang w:eastAsia="ru-RU"/>
              </w:rPr>
            </w:pPr>
          </w:p>
        </w:tc>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F639AF">
            <w:pPr>
              <w:spacing w:after="0" w:line="240" w:lineRule="auto"/>
              <w:rPr>
                <w:rFonts w:ascii="Times New Roman" w:eastAsia="Times New Roman" w:hAnsi="Times New Roman" w:cs="Times New Roman"/>
                <w:lang w:eastAsia="ru-RU"/>
              </w:rPr>
            </w:pP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посадочных мест на 1000 чел</w:t>
            </w:r>
          </w:p>
        </w:tc>
        <w:tc>
          <w:tcPr>
            <w:tcW w:w="3119" w:type="dxa"/>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639AF" w:rsidRPr="007020C2" w:rsidRDefault="00F639AF" w:rsidP="00F639AF">
            <w:pPr>
              <w:spacing w:after="0" w:line="240" w:lineRule="auto"/>
              <w:rPr>
                <w:rFonts w:ascii="Times New Roman" w:eastAsia="Times New Roman" w:hAnsi="Times New Roman" w:cs="Times New Roman"/>
                <w:lang w:eastAsia="ru-RU"/>
              </w:rPr>
            </w:pP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Парк культуры и отдыха</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30 тыс. чел.</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 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p>
        </w:tc>
      </w:tr>
      <w:tr w:rsidR="00167DAB" w:rsidRPr="007020C2" w:rsidTr="00167DAB">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67DAB">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Многофункциональный досуговый центр для детей и молодежи</w:t>
            </w:r>
          </w:p>
        </w:tc>
        <w:tc>
          <w:tcPr>
            <w:tcW w:w="29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объект на городской округ</w:t>
            </w:r>
          </w:p>
        </w:tc>
        <w:tc>
          <w:tcPr>
            <w:tcW w:w="311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Пешеходная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30 мин.</w:t>
            </w:r>
            <w:r w:rsidRPr="007020C2">
              <w:rPr>
                <w:rFonts w:ascii="Times New Roman" w:eastAsia="Times New Roman" w:hAnsi="Times New Roman" w:cs="Times New Roman"/>
                <w:lang w:eastAsia="ru-RU"/>
              </w:rPr>
              <w:br/>
              <w:t xml:space="preserve">Транспортная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40 мин.</w:t>
            </w:r>
          </w:p>
        </w:tc>
      </w:tr>
    </w:tbl>
    <w:p w:rsidR="00167DAB" w:rsidRPr="007020C2" w:rsidRDefault="00167DAB" w:rsidP="00167DAB">
      <w:pPr>
        <w:tabs>
          <w:tab w:val="left" w:pos="252"/>
        </w:tabs>
        <w:spacing w:after="0" w:line="240" w:lineRule="auto"/>
        <w:ind w:firstLine="567"/>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Примечания:</w:t>
      </w:r>
    </w:p>
    <w:p w:rsidR="00167DAB" w:rsidRPr="007020C2" w:rsidRDefault="00167DAB" w:rsidP="00167DAB">
      <w:pPr>
        <w:tabs>
          <w:tab w:val="left" w:pos="252"/>
        </w:tabs>
        <w:spacing w:after="0" w:line="240" w:lineRule="auto"/>
        <w:ind w:firstLine="567"/>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1) максимально допустимый уровень транспортной доступности до объекта указан в границах городского округа, а пешеходной доступности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в границах населенного пункта, в котором размещен объект;</w:t>
      </w:r>
    </w:p>
    <w:p w:rsidR="00F639AF" w:rsidRPr="007020C2" w:rsidRDefault="00167DAB" w:rsidP="00167DAB">
      <w:pPr>
        <w:spacing w:after="0" w:line="240" w:lineRule="auto"/>
        <w:ind w:firstLine="567"/>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rsidR="00167DAB" w:rsidRPr="007020C2" w:rsidRDefault="00167DAB" w:rsidP="00167DAB">
      <w:pPr>
        <w:spacing w:after="0" w:line="240" w:lineRule="auto"/>
        <w:ind w:firstLine="567"/>
        <w:textAlignment w:val="baseline"/>
        <w:rPr>
          <w:rFonts w:ascii="Times New Roman" w:eastAsia="Times New Roman" w:hAnsi="Times New Roman" w:cs="Times New Roman"/>
          <w:color w:val="666666"/>
          <w:sz w:val="24"/>
          <w:szCs w:val="24"/>
          <w:lang w:eastAsia="ru-RU"/>
        </w:rPr>
      </w:pP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2.4.9. Минимально необходимые площади земельных участков в зависимости от емкостных характеристик размещаемых на них объектов социального и коммунально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рекомендуется принимать в соответствии с приложением № 1 к местным нормативам.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2.4.10.  Максимальная пешеходная доступность от места жительства до объектов социальной инфраструктуры в городских населенных пунктах приведена в таблице 13.</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13</w:t>
      </w:r>
    </w:p>
    <w:tbl>
      <w:tblPr>
        <w:tblW w:w="9923" w:type="dxa"/>
        <w:tblInd w:w="150" w:type="dxa"/>
        <w:tblCellMar>
          <w:left w:w="0" w:type="dxa"/>
          <w:right w:w="0" w:type="dxa"/>
        </w:tblCellMar>
        <w:tblLook w:val="04A0"/>
      </w:tblPr>
      <w:tblGrid>
        <w:gridCol w:w="4820"/>
        <w:gridCol w:w="2552"/>
        <w:gridCol w:w="2551"/>
      </w:tblGrid>
      <w:tr w:rsidR="002506BD" w:rsidRPr="007020C2" w:rsidTr="00B8681B">
        <w:tc>
          <w:tcPr>
            <w:tcW w:w="4820"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Виды объектов</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пешеходная доступность от места жительства, км</w:t>
            </w:r>
          </w:p>
        </w:tc>
      </w:tr>
      <w:tr w:rsidR="002506BD" w:rsidRPr="007020C2" w:rsidTr="00B8681B">
        <w:tc>
          <w:tcPr>
            <w:tcW w:w="482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2506BD">
            <w:pPr>
              <w:spacing w:after="0" w:line="240" w:lineRule="auto"/>
              <w:jc w:val="center"/>
              <w:rPr>
                <w:rFonts w:ascii="Times New Roman" w:eastAsia="Times New Roman" w:hAnsi="Times New Roman" w:cs="Times New Roman"/>
                <w:lang w:eastAsia="ru-RU"/>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зоны застройки многоквартирными жилыми домами</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зоны застройки блокированными и индивидуальными жилыми домами</w:t>
            </w:r>
          </w:p>
        </w:tc>
      </w:tr>
      <w:tr w:rsidR="002506BD" w:rsidRPr="007020C2" w:rsidTr="00B8681B">
        <w:trPr>
          <w:trHeight w:val="503"/>
        </w:trPr>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здравоохранения*, в том числе:</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r>
      <w:tr w:rsidR="002506BD" w:rsidRPr="007020C2" w:rsidTr="00B8681B">
        <w:trPr>
          <w:trHeight w:val="203"/>
        </w:trPr>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поликлиники</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r>
      <w:tr w:rsidR="002506BD" w:rsidRPr="007020C2" w:rsidTr="00B8681B">
        <w:trPr>
          <w:trHeight w:val="325"/>
        </w:trPr>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молочные кухни</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аптеки</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коммунального и бытового обслуживания</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общественного питания</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0,8</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Магазины, торговые центры площадью до 1500 м</w:t>
            </w:r>
            <w:r w:rsidRPr="007020C2">
              <w:rPr>
                <w:rFonts w:ascii="Times New Roman" w:eastAsia="Times New Roman" w:hAnsi="Times New Roman" w:cs="Times New Roman"/>
                <w:vertAlign w:val="superscript"/>
                <w:lang w:eastAsia="ru-RU"/>
              </w:rPr>
              <w:t>2</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Магазины, торговые центры площадью от 1500 до 5000 м</w:t>
            </w:r>
            <w:r w:rsidRPr="007020C2">
              <w:rPr>
                <w:rFonts w:ascii="Times New Roman" w:eastAsia="Times New Roman" w:hAnsi="Times New Roman" w:cs="Times New Roman"/>
                <w:vertAlign w:val="superscript"/>
                <w:lang w:eastAsia="ru-RU"/>
              </w:rPr>
              <w:t>2</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физической культуры и массового спорта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r>
      <w:tr w:rsidR="002506BD" w:rsidRPr="007020C2" w:rsidTr="00B8681B">
        <w:tc>
          <w:tcPr>
            <w:tcW w:w="482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сферы культуры</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Объекты, не связанные с решением вопросов местного значения городского округа. Расчетные показатели для них приводятся в информационно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справочных целях и не являются предметом утверждения в местных нормативах.</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lastRenderedPageBreak/>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2.4.11. Для жителей сельского населенного пункта, обучающихся в организации общего образования, допустимая доступность объекта общего образования, размещенного за границей населенного пункта, принимается: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пешеходная не более 4 км (для начального общего образования  не более 2 км);</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транспортная на специальном школьном автобусе или транспорте общего пользования не более 30 минут(для начального общего образования  не более 15 минут).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2.4.12. Для жителей сельского населенного пункта допустимая доступность дошкольной образовательной организации на индивидуальном транспорте или транспорте общего пользования не превышает 30 минут.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2.4.13. Для жителей сельского населенного пункта пешеходная доступность до магазинов, торговых центров площадью до 1500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 не более 300 метров, до магазинов, торговых центров площадью от 1500 до 5000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1000 метров. Допустимая транспортная доступность прочих объектов первой необходимости для жителей сельских населенных пунктов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не более 30 минут.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2.4.14. Расчетные показатели обеспечения жителей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внутриподъездного видеонаблюдения, система диспетчеризации и мониторинга показателей работы систем жилищно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коммунального хозяйства, автоматизированного удаленного сбора данных о расходовании и потреблении ресурсов) регламентируются нормативными правовыми актами Правительства Московской области, сводом правил СП 54.13330.2011 "СНиП 31</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01</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2003. Здания жилые многоквартирные", приказом Министерства связи СССР от 27.04.1981 № 178, типовыми техническими условиями на подключение многоквартирных домов к сетям связи общего пользования и системе технологического обеспечения региональной общественной безопасности и оперативного управления "Безопасный регион" на территории Московской области.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 Расчетные показатели объектов транспортной инфраструктуры.</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 Расчетный уровень автомобилизации населения при проектировании объектов транспортной инфраструктуры принимается 420 автомобилей на 1 тыс. человек.</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2.5.2. Плотность улично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дорожной сети, обеспечивающей транспортное обслуживание кварталов многоквартирной жилой и общественно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деловой застройки домами (отношение протяженности улично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дорожной сети, образующей границы кварталов, к площади этих кварталов) в городах и рабочих посёлках  принимается не менее 7,5 км/к</w:t>
      </w:r>
      <w:r w:rsidR="00EB77E5" w:rsidRPr="007020C2">
        <w:rPr>
          <w:rFonts w:ascii="Times New Roman" w:eastAsia="Times New Roman" w:hAnsi="Times New Roman" w:cs="Times New Roman"/>
          <w:sz w:val="24"/>
          <w:szCs w:val="24"/>
          <w:lang w:eastAsia="ru-RU"/>
        </w:rPr>
        <w:t xml:space="preserve"> 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Плотность улично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дорожной сети, обеспечивающей транспортное обслуживание кварталов блокированной и индивидуальной жилой застройки, принимается не менее 13 км/к</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Плотность магистральной улично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дорожной сети, в том числе используемой для движения транспорта общего пользования, должна быть не менее 2,2 км/к</w:t>
      </w:r>
      <w:r w:rsidR="00EB77E5" w:rsidRPr="007020C2">
        <w:rPr>
          <w:rFonts w:ascii="Times New Roman" w:eastAsia="Times New Roman" w:hAnsi="Times New Roman" w:cs="Times New Roman"/>
          <w:sz w:val="24"/>
          <w:szCs w:val="24"/>
          <w:lang w:eastAsia="ru-RU"/>
        </w:rPr>
        <w:t xml:space="preserve"> 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2.5.3. Пешеходная доступность от места жительства в зонах застройки блокированными и индивидуальными жилыми домами до ближайшей остановки пассажирского транспорта общего пользования принимается не более 0,8 км, а в зонах застройки многоквартирными жилыми домами – не более 0,5 км.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2.5.4. Максимальная дальность пешеходных подходов в городе от объектов массового посещения до ближайшей остановки транспорта общего пользования приведены в таблице 14.</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14</w:t>
      </w:r>
    </w:p>
    <w:tbl>
      <w:tblPr>
        <w:tblW w:w="9923" w:type="dxa"/>
        <w:tblInd w:w="150" w:type="dxa"/>
        <w:tblCellMar>
          <w:left w:w="0" w:type="dxa"/>
          <w:right w:w="0" w:type="dxa"/>
        </w:tblCellMar>
        <w:tblLook w:val="04A0"/>
      </w:tblPr>
      <w:tblGrid>
        <w:gridCol w:w="4962"/>
        <w:gridCol w:w="4961"/>
      </w:tblGrid>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Объекты массового посещения</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дальность пешеходных подходов, км</w:t>
            </w:r>
          </w:p>
        </w:tc>
      </w:tr>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Зоны массового отдыха</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p>
        </w:tc>
      </w:tr>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Торговые центры и комплексы</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r>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Розничные и сельскохозяйственные рынки</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r>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Стадионы</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p>
        </w:tc>
      </w:tr>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Станция пригородной железной дороги</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r>
      <w:tr w:rsidR="00F639AF" w:rsidRPr="007020C2" w:rsidTr="002506BD">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Иные объекты массового посещения</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0,25</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2.5.5. Расстояния между остановками транспорта общего пользования в зоне жилой застройки блокированными и индивидуальными жилыми домами не должны превышать 0,8 км, в зоне жилой застройки многоквартирными домами,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0,6 км, в общественно</w:t>
      </w:r>
      <w:r w:rsidR="00A6689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деловой зоне с объектами массового посещения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0,4 км.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2.5.6. Параметры строящихся и реконструируемых объектов улично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дорожной сети населенных пунктов приведены в таблице 15.</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15</w:t>
      </w:r>
    </w:p>
    <w:tbl>
      <w:tblPr>
        <w:tblW w:w="4804" w:type="pct"/>
        <w:tblInd w:w="150" w:type="dxa"/>
        <w:tblCellMar>
          <w:left w:w="0" w:type="dxa"/>
          <w:right w:w="0" w:type="dxa"/>
        </w:tblCellMar>
        <w:tblLook w:val="04A0"/>
      </w:tblPr>
      <w:tblGrid>
        <w:gridCol w:w="3498"/>
        <w:gridCol w:w="2367"/>
        <w:gridCol w:w="1968"/>
        <w:gridCol w:w="1853"/>
      </w:tblGrid>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A66892">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улично</w:t>
            </w:r>
            <w:r w:rsidR="00A66892"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дорожной сети</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Ширина в красных линиях, не менее, м</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Ширина полосыдвижения, м</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Число полосдвижения</w:t>
            </w:r>
          </w:p>
        </w:tc>
      </w:tr>
      <w:tr w:rsidR="002506BD" w:rsidRPr="007020C2" w:rsidTr="002506BD">
        <w:trPr>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Городские населенные пункты</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Магистральная улица:</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ind w:left="276"/>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общегородского значения</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3,75</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ind w:left="276"/>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районного значения</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4</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Улица местного значения</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2506BD" w:rsidRPr="007020C2" w:rsidTr="002506BD">
        <w:trPr>
          <w:trHeight w:val="469"/>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Сельские населенные пункты</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Главная улица</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4</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Жилая улица:</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ind w:firstLine="276"/>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основная</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ind w:firstLine="276"/>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второстепенная</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2,75</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Проезд:</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ind w:firstLine="276"/>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основной</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3,0</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r>
      <w:tr w:rsidR="002506BD" w:rsidRPr="007020C2" w:rsidTr="002506BD">
        <w:trPr>
          <w:tblHeader/>
        </w:trPr>
        <w:tc>
          <w:tcPr>
            <w:tcW w:w="180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ind w:firstLine="276"/>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хозяйственный</w:t>
            </w:r>
          </w:p>
        </w:tc>
        <w:tc>
          <w:tcPr>
            <w:tcW w:w="1224"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101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w:t>
            </w:r>
          </w:p>
        </w:tc>
        <w:tc>
          <w:tcPr>
            <w:tcW w:w="958"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2.5.7. Показатели минимальной обеспеченности территорией, предназначенной для размещения гаражей и стоянок хранения индивидуального автомобильного транспорта, принадлежащего жителям многоквартирных жилых домов, в расчете на 1 человека в границах сельского населенного пункта принимается 10,4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в границах города Ногинска –7,3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в городах Старая Купавна  и Электроугли – 8,1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в рабочих посёлках им. Воровского и Обухово – 9,0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в том числе в разрезе кварталов и жилых районов в зависимости от средней этажности многоквартирных жилых домов приведены в таблице 16.</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16</w:t>
      </w:r>
    </w:p>
    <w:tbl>
      <w:tblPr>
        <w:tblW w:w="9781" w:type="dxa"/>
        <w:tblInd w:w="150" w:type="dxa"/>
        <w:tblCellMar>
          <w:left w:w="0" w:type="dxa"/>
          <w:right w:w="0" w:type="dxa"/>
        </w:tblCellMar>
        <w:tblLook w:val="04A0"/>
      </w:tblPr>
      <w:tblGrid>
        <w:gridCol w:w="2750"/>
        <w:gridCol w:w="3629"/>
        <w:gridCol w:w="3402"/>
      </w:tblGrid>
      <w:tr w:rsidR="00676DEE" w:rsidRPr="007020C2" w:rsidTr="002506BD">
        <w:tc>
          <w:tcPr>
            <w:tcW w:w="2750"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Средняя этажность многоквартирных жилых домов</w:t>
            </w:r>
          </w:p>
        </w:tc>
        <w:tc>
          <w:tcPr>
            <w:tcW w:w="703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Минимальная обеспеченность территорией для хранения индивидуального автомобильного транспорта,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676DEE" w:rsidRPr="007020C2" w:rsidTr="002506BD">
        <w:tc>
          <w:tcPr>
            <w:tcW w:w="275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2506BD">
            <w:pPr>
              <w:spacing w:after="0" w:line="240" w:lineRule="auto"/>
              <w:jc w:val="center"/>
              <w:rPr>
                <w:rFonts w:ascii="Times New Roman" w:eastAsia="Times New Roman" w:hAnsi="Times New Roman" w:cs="Times New Roman"/>
                <w:lang w:eastAsia="ru-RU"/>
              </w:rPr>
            </w:pP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квартала</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границах жилого района</w:t>
            </w:r>
          </w:p>
        </w:tc>
      </w:tr>
      <w:tr w:rsidR="00676DEE" w:rsidRPr="007020C2" w:rsidTr="002506BD">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 Ногинск</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4,4</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8,5</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7,3</w:t>
            </w:r>
          </w:p>
        </w:tc>
      </w:tr>
      <w:tr w:rsidR="00D60616" w:rsidRPr="007020C2" w:rsidTr="00D60616">
        <w:trPr>
          <w:trHeight w:val="305"/>
        </w:trPr>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hideMark/>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9</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hideMark/>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3,3</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hideMark/>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6,3</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5,9</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5,5</w:t>
            </w:r>
          </w:p>
        </w:tc>
      </w:tr>
      <w:tr w:rsidR="00676DEE" w:rsidRPr="007020C2" w:rsidTr="002506BD">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Города Старая Купавна и Электроугли</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4,8</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9,1</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4,1</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7,9</w:t>
            </w:r>
          </w:p>
        </w:tc>
      </w:tr>
      <w:tr w:rsidR="00D60616" w:rsidRPr="007020C2" w:rsidTr="002C173A">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hideMark/>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9</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hideMark/>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3,6</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hideMark/>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6,7</w:t>
            </w:r>
          </w:p>
        </w:tc>
      </w:tr>
      <w:tr w:rsidR="00D60616" w:rsidRPr="007020C2" w:rsidTr="002C173A">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12</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3,2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6,3</w:t>
            </w:r>
          </w:p>
        </w:tc>
      </w:tr>
      <w:tr w:rsidR="00D60616" w:rsidRPr="007020C2" w:rsidTr="002C173A">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17</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3,0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5,8</w:t>
            </w:r>
          </w:p>
        </w:tc>
      </w:tr>
      <w:tr w:rsidR="00676DEE" w:rsidRPr="007020C2" w:rsidTr="002506BD">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506B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Рабочие посёлки им. Воровского и Обухово</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4,9</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9,4</w:t>
            </w:r>
          </w:p>
        </w:tc>
      </w:tr>
      <w:tr w:rsidR="00676DEE" w:rsidRPr="007020C2" w:rsidTr="002506BD">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4,2</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8,2</w:t>
            </w:r>
          </w:p>
        </w:tc>
      </w:tr>
      <w:tr w:rsidR="00D60616" w:rsidRPr="007020C2" w:rsidTr="002C173A">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9</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3,7</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D60616" w:rsidRPr="007020C2" w:rsidRDefault="00D60616" w:rsidP="00D60616">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6,9</w:t>
            </w:r>
          </w:p>
        </w:tc>
      </w:tr>
      <w:tr w:rsidR="006E4C17" w:rsidRPr="007020C2" w:rsidTr="002C173A">
        <w:tc>
          <w:tcPr>
            <w:tcW w:w="275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6E4C17" w:rsidRPr="007020C2" w:rsidRDefault="006E4C17" w:rsidP="002C173A">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lastRenderedPageBreak/>
              <w:t>12</w:t>
            </w:r>
          </w:p>
        </w:tc>
        <w:tc>
          <w:tcPr>
            <w:tcW w:w="36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6E4C17" w:rsidRPr="007020C2" w:rsidRDefault="006E4C17" w:rsidP="006E4C17">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3,3</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bottom"/>
          </w:tcPr>
          <w:p w:rsidR="006E4C17" w:rsidRPr="007020C2" w:rsidRDefault="006E4C17" w:rsidP="006E4C17">
            <w:pPr>
              <w:spacing w:after="0" w:line="240" w:lineRule="auto"/>
              <w:jc w:val="center"/>
              <w:rPr>
                <w:rFonts w:ascii="Times New Roman" w:hAnsi="Times New Roman" w:cs="Times New Roman"/>
                <w:sz w:val="24"/>
                <w:szCs w:val="24"/>
              </w:rPr>
            </w:pPr>
            <w:r w:rsidRPr="007020C2">
              <w:rPr>
                <w:rFonts w:ascii="Times New Roman" w:hAnsi="Times New Roman" w:cs="Times New Roman"/>
                <w:sz w:val="24"/>
                <w:szCs w:val="24"/>
              </w:rPr>
              <w:t>6,5</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Примечание: для промежуточных значений средней этажности жилых домов минимальная обеспеченности территорией для хранения индивидуального автомобильного транспорта рассчитывается методом линейной интерполяции.</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2.5.8. При проектировании новой и реконструкции существующей застройки многоквартирными жилыми домами рекомендуется предусматривать размещение мест для хранения индивидуального автомобильного транспорта жителей в границах квартала. В случае недостаточности площади территории квартала размещение автомобилей жителей предусматривается в подземных и (или) многоэтажных надземных гаражах.</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2.5.9. В случаях обоснованных технико</w:t>
      </w:r>
      <w:r w:rsidR="00780E69"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экономических ограничений, препятствующих исполнению рекомендаций п. 2.5.8, допускается принимать обеспеченность жителей многоквартирных домов местами для хранения индивидуального автомобильного транспорта в процентах от расчетного количества мест:</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не менее 40% в границах квартала;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не менее 90% в границах жилого района и на прилегающих производственных территориях при соблюдении пешеходной доступности от мест жительства до мест хранения индивидуального автомобильного транспорта не более 800 м;</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не менее 100% в границах города при соблюдении транспортной доступности не более чем 15 минут.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2.5.10. Подземные гаражи допускается размещать под общественными и жилыми зданиями, а также на незастроенной территории – под проездами, улицами, площадями, хозяйственными площадками, автостоянками.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2.5.11. Минимальный размер земельных участков многоэтажных гаражей легковых автомобилей в зависимости от их этажности принимается в расчете на одно машино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место в соответствии с таблицей 17.</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17</w:t>
      </w:r>
    </w:p>
    <w:tbl>
      <w:tblPr>
        <w:tblW w:w="9781" w:type="dxa"/>
        <w:tblInd w:w="150" w:type="dxa"/>
        <w:tblCellMar>
          <w:left w:w="0" w:type="dxa"/>
          <w:right w:w="0" w:type="dxa"/>
        </w:tblCellMar>
        <w:tblLook w:val="04A0"/>
      </w:tblPr>
      <w:tblGrid>
        <w:gridCol w:w="2694"/>
        <w:gridCol w:w="7087"/>
      </w:tblGrid>
      <w:tr w:rsidR="00F639AF" w:rsidRPr="007020C2" w:rsidTr="00676DEE">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Этажность гаража</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780E69">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Площадь земельного участка на одно машино</w:t>
            </w:r>
            <w:r w:rsidR="00780E69"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место, м</w:t>
            </w:r>
            <w:r w:rsidRPr="007020C2">
              <w:rPr>
                <w:rFonts w:ascii="Times New Roman" w:eastAsia="Times New Roman" w:hAnsi="Times New Roman" w:cs="Times New Roman"/>
                <w:vertAlign w:val="superscript"/>
                <w:lang w:eastAsia="ru-RU"/>
              </w:rPr>
              <w:t>2</w:t>
            </w:r>
          </w:p>
        </w:tc>
      </w:tr>
      <w:tr w:rsidR="00F639AF" w:rsidRPr="007020C2" w:rsidTr="00676DEE">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30,0</w:t>
            </w:r>
          </w:p>
        </w:tc>
      </w:tr>
      <w:tr w:rsidR="00F639AF" w:rsidRPr="007020C2" w:rsidTr="00676DEE">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20,0</w:t>
            </w:r>
          </w:p>
        </w:tc>
      </w:tr>
      <w:tr w:rsidR="00F639AF" w:rsidRPr="007020C2" w:rsidTr="00676DEE">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14,0</w:t>
            </w:r>
          </w:p>
        </w:tc>
      </w:tr>
      <w:tr w:rsidR="00F639AF" w:rsidRPr="007020C2" w:rsidTr="00676DEE">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12,0</w:t>
            </w:r>
          </w:p>
        </w:tc>
      </w:tr>
      <w:tr w:rsidR="00F639AF" w:rsidRPr="007020C2" w:rsidTr="00676DEE">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708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2.5.12. На территориях, застроенных индивидуальными и блокированными жилыми домами, стоянки индивидуального автомобильного транспорта предусматриваются в пределах земельных участков, на которых размещаются такие дома.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2.5.13. Места для хранения личного автомобильного транспорта инвалидов предусматриваются на расстоянии не более 100 м до входов в многоквартирные жилые дома, в которых проживают инвалиды, в объекты социального и коммунально</w:t>
      </w:r>
      <w:r w:rsidR="000671E3"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в организации, использующие труд инвалидов.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lastRenderedPageBreak/>
        <w:t>2.5.14. При размещении на территории населенного пункта объектов социального и культурно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для работников и посетителей объектов рекомендуется предусматривать приобъектные автостоянки (парковки) с количеством парковочных мест в зависимости от вида и емкостных характеристик объектов в соответствии с таблицей 18.</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18</w:t>
      </w:r>
    </w:p>
    <w:tbl>
      <w:tblPr>
        <w:tblW w:w="9781" w:type="dxa"/>
        <w:tblInd w:w="150" w:type="dxa"/>
        <w:tblCellMar>
          <w:left w:w="0" w:type="dxa"/>
          <w:right w:w="0" w:type="dxa"/>
        </w:tblCellMar>
        <w:tblLook w:val="04A0"/>
      </w:tblPr>
      <w:tblGrid>
        <w:gridCol w:w="811"/>
        <w:gridCol w:w="4576"/>
        <w:gridCol w:w="4394"/>
      </w:tblGrid>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п/п</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Виды объектов</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Одно парковочно</w:t>
            </w:r>
            <w:r w:rsidR="00676DEE" w:rsidRPr="007020C2">
              <w:rPr>
                <w:rFonts w:ascii="Times New Roman" w:eastAsia="Times New Roman" w:hAnsi="Times New Roman" w:cs="Times New Roman"/>
                <w:lang w:eastAsia="ru-RU"/>
              </w:rPr>
              <w:t>е</w:t>
            </w:r>
            <w:r w:rsidRPr="007020C2">
              <w:rPr>
                <w:rFonts w:ascii="Times New Roman" w:eastAsia="Times New Roman" w:hAnsi="Times New Roman" w:cs="Times New Roman"/>
                <w:lang w:eastAsia="ru-RU"/>
              </w:rPr>
              <w:t xml:space="preserve"> место из расчета на</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9639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Учреждения органов местного самоуправления</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220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Административно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управленческие учреждения, здания и помещения общественных организаций</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120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Коммерческо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деловые центры, офисные здания и помещения, страховые компании</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60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Банки и банковские учреждения, кредитно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финансовые учреждения</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35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Здания и комплексы многофункциональные</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 СП 160.1325800 «Здания и комплексы многофункциональные. Правила проектирования»</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Образовательные организации, реализующие программы высшего образования</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4 преподавателя и сотрудника + 1 место на 10 студентов, занятых в одну смену</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Профессиональные образовательные организации, образовательные организации искусств</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 преподавателя, занятых в одну смену</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Центры обучения, самодеятельного творчества, клубы по интересам для взрослых</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25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производственного и коммунального назначения</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16 мест на 100 чел., работающих в двух смежных сменах</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торгового назначения с широким ассортиментом товаров периодического спроса продовольственной и (или) непродовольственной групп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Специализированные магазины по продаже товаров эпизодического спроса непродовольственной группы (спортивные, мебельные, бытовой техники, музыкальных инструментов, ювелирные, книжные и т.п.)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70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Рынки постоянные:</w:t>
            </w:r>
          </w:p>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универсальные и непродовольственные;</w:t>
            </w:r>
          </w:p>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w:t>
            </w:r>
            <w:r w:rsidR="00F639AF" w:rsidRPr="007020C2">
              <w:rPr>
                <w:rFonts w:ascii="Times New Roman" w:eastAsia="Times New Roman" w:hAnsi="Times New Roman" w:cs="Times New Roman"/>
                <w:lang w:eastAsia="ru-RU"/>
              </w:rPr>
              <w:t xml:space="preserve"> продовольственные и сельскохозяйственные</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40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40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13</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Предприятия общественного питания периодического спроса (рестораны, кафе)</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 посадочных места</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Бани</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6 единовременных посетителей</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Ателье, фотосалоны, салоны</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парикмахерские, салоны красоты, солярии, салоны моды, свадебные салоны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15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Бюро похоронного обслуживания</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25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Химчистки, прачечные, ремонтные мастерские, специализированные центры по обслуживанию сложной бытовой техники и др. объекты обслуживания</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 рабочих места приемщика</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Гостиницы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AE7596">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номеров</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Музеи, выставочные залы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 единовременных посетителей</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Кинотеатры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12 зрительских мест</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Библиотеки</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 постоянных мест</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Объекты религиозных конфессий</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10 единовременных посетителей, но не менее 10 мест на объект</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Здания и помещения медицинских организаций</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 сотрудников, 20 коек, 33 посещения</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Спортивные комплексы и стадионы с трибунами</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30 мест на трибунах</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Оздоровительные комплексы (фитнес</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клубы, физкультурно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оздоровительные комплексы, спортивные и тренажерные залы)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40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общей площади </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Бассейны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142153">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r w:rsidR="0014215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7 единовременных посетителей</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Автовокзалы</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15 пассажиров дальнего следования в час пик</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28</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Железнодорожные станции</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80</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100 пассажиров в час пик</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29</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Пляжи и парки в зонах отдыха</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20 мест на 100 единовременных посетителей</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Базы кратковременного отдыха (спортивные, </w:t>
            </w:r>
            <w:r w:rsidRPr="007020C2">
              <w:rPr>
                <w:rFonts w:ascii="Times New Roman" w:eastAsia="Times New Roman" w:hAnsi="Times New Roman" w:cs="Times New Roman"/>
                <w:lang w:eastAsia="ru-RU"/>
              </w:rPr>
              <w:lastRenderedPageBreak/>
              <w:t>лыжные, рыболовные, охотничьи и др.)</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10</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15 мест на 100 единовременных </w:t>
            </w:r>
            <w:r w:rsidRPr="007020C2">
              <w:rPr>
                <w:rFonts w:ascii="Times New Roman" w:eastAsia="Times New Roman" w:hAnsi="Times New Roman" w:cs="Times New Roman"/>
                <w:lang w:eastAsia="ru-RU"/>
              </w:rPr>
              <w:lastRenderedPageBreak/>
              <w:t>посетителей</w:t>
            </w:r>
          </w:p>
        </w:tc>
      </w:tr>
      <w:tr w:rsidR="00676DEE" w:rsidRPr="007020C2" w:rsidTr="00676DEE">
        <w:tc>
          <w:tcPr>
            <w:tcW w:w="81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31</w:t>
            </w:r>
          </w:p>
        </w:tc>
        <w:tc>
          <w:tcPr>
            <w:tcW w:w="457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Предприятия общественного питания и торговли в зонах отдыха</w:t>
            </w: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10 мест на 100 мест в залах или единовременных посетителей и персонала</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Примечание: количество парковочных мест для видов объектов, не связанных с решением вопросов местного значения городского округа, приводятся в информационно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справочных целях.</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2.5.15. На автостоянках при объектах торговли, сферы услуг, объектах здравоохранения, спортивных и культурно</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зрелищных объектах следует предусматривать не менее 10 % общего числа парковочных мест для автомобилей инвалидов, но не менее одного места.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2.5.16. Площадь территории для размещения одного автомобиля на автостоянках принимается 22,5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xml:space="preserve">. При устройстве автостоянок в уширениях проезжих частей улиц и проездов площадь для размещения 1 автомобиля принимается 18,0 </w:t>
      </w:r>
      <w:r w:rsidR="00EB77E5" w:rsidRPr="007020C2">
        <w:rPr>
          <w:rFonts w:ascii="Times New Roman" w:eastAsia="Times New Roman" w:hAnsi="Times New Roman" w:cs="Times New Roman"/>
          <w:sz w:val="24"/>
          <w:szCs w:val="24"/>
          <w:lang w:eastAsia="ru-RU"/>
        </w:rPr>
        <w:t>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2.5.17. Автозаправочные станции проектируются из расчета одна топливораздаточная колонка на 1200 легковых автомобилей, принимая площадь земельных участков для размещения станций не менее:</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на 2 колонки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0,1га;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на 5 колонок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0,2 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на 7 колонок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0,3 га</w:t>
      </w:r>
      <w:r w:rsidR="003C5B3E" w:rsidRPr="007020C2">
        <w:rPr>
          <w:rFonts w:ascii="Times New Roman" w:eastAsia="Times New Roman" w:hAnsi="Times New Roman" w:cs="Times New Roman"/>
          <w:sz w:val="24"/>
          <w:szCs w:val="24"/>
          <w:lang w:eastAsia="ru-RU"/>
        </w:rPr>
        <w:t>;</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на 9 колонок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0,35 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2.5.18. Для движения велосипедного транспорта в городе организуются велосипедные дорожки. Велосипедная дорожка, или велодорожка – это выделенная или отдельно проложенная часть улицы в населенном пункте или автомобильной дороги между населенными пунктами. Велодорожки могут быть с односторонним (они обычно располагаются по обеим сторонам проезжей части) и двусторонним движением. Если велосипедная дорожка является частью улицы или автомобильной дороги общего пользования, она отделяется от </w:t>
      </w:r>
      <w:hyperlink r:id="rId8" w:history="1">
        <w:r w:rsidRPr="007020C2">
          <w:rPr>
            <w:rFonts w:ascii="Times New Roman" w:eastAsia="Times New Roman" w:hAnsi="Times New Roman" w:cs="Times New Roman"/>
            <w:sz w:val="24"/>
            <w:szCs w:val="24"/>
            <w:lang w:eastAsia="ru-RU"/>
          </w:rPr>
          <w:t>проезжей части</w:t>
        </w:r>
      </w:hyperlink>
      <w:r w:rsidRPr="007020C2">
        <w:rPr>
          <w:rFonts w:ascii="Times New Roman" w:eastAsia="Times New Roman" w:hAnsi="Times New Roman" w:cs="Times New Roman"/>
          <w:sz w:val="24"/>
          <w:szCs w:val="24"/>
          <w:lang w:eastAsia="ru-RU"/>
        </w:rPr>
        <w:t> </w:t>
      </w:r>
      <w:hyperlink r:id="rId9" w:history="1">
        <w:r w:rsidRPr="007020C2">
          <w:rPr>
            <w:rFonts w:ascii="Times New Roman" w:eastAsia="Times New Roman" w:hAnsi="Times New Roman" w:cs="Times New Roman"/>
            <w:sz w:val="24"/>
            <w:szCs w:val="24"/>
            <w:lang w:eastAsia="ru-RU"/>
          </w:rPr>
          <w:t>разделительной полосой</w:t>
        </w:r>
      </w:hyperlink>
      <w:r w:rsidRPr="007020C2">
        <w:rPr>
          <w:rFonts w:ascii="Times New Roman" w:eastAsia="Times New Roman" w:hAnsi="Times New Roman" w:cs="Times New Roman"/>
          <w:sz w:val="24"/>
          <w:szCs w:val="24"/>
          <w:lang w:eastAsia="ru-RU"/>
        </w:rPr>
        <w:t>, </w:t>
      </w:r>
      <w:hyperlink r:id="rId10" w:history="1">
        <w:r w:rsidRPr="007020C2">
          <w:rPr>
            <w:rFonts w:ascii="Times New Roman" w:eastAsia="Times New Roman" w:hAnsi="Times New Roman" w:cs="Times New Roman"/>
            <w:sz w:val="24"/>
            <w:szCs w:val="24"/>
            <w:lang w:eastAsia="ru-RU"/>
          </w:rPr>
          <w:t>газоном</w:t>
        </w:r>
      </w:hyperlink>
      <w:r w:rsidRPr="007020C2">
        <w:rPr>
          <w:rFonts w:ascii="Times New Roman" w:eastAsia="Times New Roman" w:hAnsi="Times New Roman" w:cs="Times New Roman"/>
          <w:sz w:val="24"/>
          <w:szCs w:val="24"/>
          <w:lang w:eastAsia="ru-RU"/>
        </w:rPr>
        <w:t>, </w:t>
      </w:r>
      <w:hyperlink r:id="rId11" w:history="1">
        <w:r w:rsidRPr="007020C2">
          <w:rPr>
            <w:rFonts w:ascii="Times New Roman" w:eastAsia="Times New Roman" w:hAnsi="Times New Roman" w:cs="Times New Roman"/>
            <w:sz w:val="24"/>
            <w:szCs w:val="24"/>
            <w:lang w:eastAsia="ru-RU"/>
          </w:rPr>
          <w:t>бордюром</w:t>
        </w:r>
      </w:hyperlink>
      <w:r w:rsidRPr="007020C2">
        <w:rPr>
          <w:rFonts w:ascii="Times New Roman" w:eastAsia="Times New Roman" w:hAnsi="Times New Roman" w:cs="Times New Roman"/>
          <w:sz w:val="24"/>
          <w:szCs w:val="24"/>
          <w:lang w:eastAsia="ru-RU"/>
        </w:rPr>
        <w:t> или </w:t>
      </w:r>
      <w:hyperlink r:id="rId12" w:history="1">
        <w:r w:rsidRPr="007020C2">
          <w:rPr>
            <w:rFonts w:ascii="Times New Roman" w:eastAsia="Times New Roman" w:hAnsi="Times New Roman" w:cs="Times New Roman"/>
            <w:sz w:val="24"/>
            <w:szCs w:val="24"/>
            <w:lang w:eastAsia="ru-RU"/>
          </w:rPr>
          <w:t>разметкой</w:t>
        </w:r>
      </w:hyperlink>
      <w:r w:rsidRPr="007020C2">
        <w:rPr>
          <w:rFonts w:ascii="Times New Roman" w:eastAsia="Times New Roman" w:hAnsi="Times New Roman" w:cs="Times New Roman"/>
          <w:sz w:val="24"/>
          <w:szCs w:val="24"/>
          <w:lang w:eastAsia="ru-RU"/>
        </w:rPr>
        <w:t>.</w:t>
      </w:r>
    </w:p>
    <w:p w:rsidR="00416BE9" w:rsidRPr="007020C2" w:rsidRDefault="00F639AF" w:rsidP="00416BE9">
      <w:pPr>
        <w:pStyle w:val="1"/>
        <w:shd w:val="clear" w:color="auto" w:fill="FFFFFF"/>
        <w:spacing w:before="0" w:beforeAutospacing="0" w:after="0" w:afterAutospacing="0"/>
        <w:ind w:firstLine="567"/>
        <w:jc w:val="both"/>
        <w:textAlignment w:val="baseline"/>
        <w:rPr>
          <w:b w:val="0"/>
          <w:bCs w:val="0"/>
          <w:kern w:val="0"/>
          <w:sz w:val="24"/>
          <w:szCs w:val="24"/>
        </w:rPr>
      </w:pPr>
      <w:r w:rsidRPr="007020C2">
        <w:rPr>
          <w:b w:val="0"/>
          <w:bCs w:val="0"/>
          <w:kern w:val="0"/>
          <w:sz w:val="24"/>
          <w:szCs w:val="24"/>
        </w:rPr>
        <w:t>2.5.19. В городе  должно быть не менее 1 велодорожки в центральной его части, не менее 1 велодорожки в каждо</w:t>
      </w:r>
      <w:r w:rsidR="00416BE9" w:rsidRPr="007020C2">
        <w:rPr>
          <w:b w:val="0"/>
          <w:bCs w:val="0"/>
          <w:kern w:val="0"/>
          <w:sz w:val="24"/>
          <w:szCs w:val="24"/>
        </w:rPr>
        <w:t>й</w:t>
      </w:r>
      <w:r w:rsidRPr="007020C2">
        <w:rPr>
          <w:b w:val="0"/>
          <w:bCs w:val="0"/>
          <w:kern w:val="0"/>
          <w:sz w:val="24"/>
          <w:szCs w:val="24"/>
        </w:rPr>
        <w:t xml:space="preserve"> жилой зоне (жилом микрорайоне) и рекреационной зоне. Протяженностью велодорожек, как правило, должна быть более 500 м. Ширина велодорожки с однополосным односторонним движением не может быть менее 1,0 м, двухполосного одностороннего </w:t>
      </w:r>
      <w:r w:rsidR="00AE7596" w:rsidRPr="007020C2">
        <w:rPr>
          <w:b w:val="0"/>
          <w:bCs w:val="0"/>
          <w:kern w:val="0"/>
          <w:sz w:val="24"/>
          <w:szCs w:val="24"/>
        </w:rPr>
        <w:t>–</w:t>
      </w:r>
      <w:r w:rsidRPr="007020C2">
        <w:rPr>
          <w:b w:val="0"/>
          <w:bCs w:val="0"/>
          <w:kern w:val="0"/>
          <w:sz w:val="24"/>
          <w:szCs w:val="24"/>
        </w:rPr>
        <w:t xml:space="preserve"> 1,75 м, двухполосного разностороннего – 2,5 м.</w:t>
      </w:r>
      <w:r w:rsidR="00416BE9" w:rsidRPr="007020C2">
        <w:rPr>
          <w:b w:val="0"/>
          <w:bCs w:val="0"/>
          <w:kern w:val="0"/>
          <w:sz w:val="24"/>
          <w:szCs w:val="24"/>
        </w:rPr>
        <w:t xml:space="preserve"> Велодорожки проектируются в соответствии с ГОСТ 33150-2014 «Дороги автомобильные общего пользования. Проектирование пешеходных и велосипедных дорожек. Общие требования».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2.5.20. Рекомендуется создавать из велодорожек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из расчета перспективного использования велосипедов: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предприятия, учреждения, организации – для 10% персонала и единовременных посетителей;</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объекты торговли, общественного питания, культуры, досуга – для 15% персонала и единовременных посетителей;</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транспортные пересадочные узлы – не менее 10 % от предусмотренного количества парковочных мест автомобилей.</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lastRenderedPageBreak/>
        <w:t xml:space="preserve">2.5.21. Уровень развития автомобильных дорог местного значения вне границ населенных пунктов в границах городского округа характеризуется показателем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плотность дорог местного значения. Плотность сети автомобильных дорог местного значения определяется как отношение длин дорог местного значения вне границ населенных пунктов к площади территории городского округа.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Автомобильные дороги местного значения наряду с дорогами регионального и межмуниципального значения входят в состав сети дорог общего пользования. Плотность такой сети дорог на территории Богородского городского округа установлена нормативами градостроительного проектирования Московской области на уровне не ниже 0,41 км/к</w:t>
      </w:r>
      <w:r w:rsidR="00EB77E5" w:rsidRPr="007020C2">
        <w:rPr>
          <w:rFonts w:ascii="Times New Roman" w:eastAsia="Times New Roman" w:hAnsi="Times New Roman" w:cs="Times New Roman"/>
          <w:sz w:val="24"/>
          <w:szCs w:val="24"/>
          <w:lang w:eastAsia="ru-RU"/>
        </w:rPr>
        <w:t xml:space="preserve"> 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Минимально допустимая протяженность дорог местного значения нормируется в сумме с протяженностью дорог общего пользования регионального и  межмуниципального значения.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2.5.22. Уровень транспортного обслуживания населения между населенными пунктами в границах городского округа характеризуется показателем – плотность сети муниципальных маршрутов муниципального сообщения автомобильного пассажирского транспорта общего пользования (далее – сеть муниципальных маршрутов).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Плотность сети муниципальных маршрутов определяется как отношение протяженность части сети дорог общего пользования с твердым покрытием регионального, межмуниципального и местного значения, по которым проложены муниципальные маршруты (без учета наложения маршрутов), к  площади территории городского округа.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Сеть муниципальных маршрутов вместе с сетью межмуниципальных и межсубъектных маршрутов регулярного пригородного сообщения автомобильного пассажирского транспорта общего пользования составляют совместную сеть маршрутов пассажирского транспорта, соединяющую населенные пункты, входящие в состав Богородского городского округа. Плотность совместной сеть маршрутов пассажирского транспорта на территории Богородского городского округа установлена нормативами градостроительного проектирования Московской области на уровне не ниже 0,37 км/к</w:t>
      </w:r>
      <w:r w:rsidR="00EB77E5" w:rsidRPr="007020C2">
        <w:rPr>
          <w:rFonts w:ascii="Times New Roman" w:eastAsia="Times New Roman" w:hAnsi="Times New Roman" w:cs="Times New Roman"/>
          <w:sz w:val="24"/>
          <w:szCs w:val="24"/>
          <w:lang w:eastAsia="ru-RU"/>
        </w:rPr>
        <w:t xml:space="preserve"> м</w:t>
      </w:r>
      <w:r w:rsidR="00EB77E5"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Минимально допустимая протяженность сети муниципальных маршрутов нормируется в составе совокупности межмуниципальных,  межсубъектных и муниципальных маршрутов.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 Расчетные показатели в области электро</w:t>
      </w:r>
      <w:r w:rsidR="00B54747"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тепло</w:t>
      </w:r>
      <w:r w:rsidR="00B54747"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газо</w:t>
      </w:r>
      <w:r w:rsidR="00B54747"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и водоснабжения населения, водоотведения.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 Основные объекты инженерной инфраструктуры, сгруппированные по целевому назначению, приведены в таблице 19.</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19</w:t>
      </w:r>
    </w:p>
    <w:tbl>
      <w:tblPr>
        <w:tblW w:w="9923" w:type="dxa"/>
        <w:tblInd w:w="150" w:type="dxa"/>
        <w:tblLayout w:type="fixed"/>
        <w:tblCellMar>
          <w:left w:w="0" w:type="dxa"/>
          <w:right w:w="0" w:type="dxa"/>
        </w:tblCellMar>
        <w:tblLook w:val="04A0"/>
      </w:tblPr>
      <w:tblGrid>
        <w:gridCol w:w="2694"/>
        <w:gridCol w:w="7229"/>
      </w:tblGrid>
      <w:tr w:rsidR="00676DEE" w:rsidRPr="007020C2" w:rsidTr="00B8681B">
        <w:trPr>
          <w:tblHeader/>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Назначение объектов инженерной инфраструктуры</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Примерный состав объектов</w:t>
            </w:r>
          </w:p>
        </w:tc>
      </w:tr>
      <w:tr w:rsidR="00676DEE" w:rsidRPr="007020C2" w:rsidTr="00B8681B">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Электроснабжение</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Понижающие станции, линии электропередачи</w:t>
            </w:r>
          </w:p>
        </w:tc>
      </w:tr>
      <w:tr w:rsidR="00676DEE" w:rsidRPr="007020C2" w:rsidTr="00B8681B">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Газоснабжение</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Газораспределительные станции, газонаполнительные пункты, газопроводы высокого давления, газопроводы среднего давления</w:t>
            </w:r>
          </w:p>
        </w:tc>
      </w:tr>
      <w:tr w:rsidR="00676DEE" w:rsidRPr="007020C2" w:rsidTr="00B8681B">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Теплоснабжение</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Теплоэлектроцентрали, котельные, магистральные сети</w:t>
            </w:r>
          </w:p>
        </w:tc>
      </w:tr>
      <w:tr w:rsidR="00676DEE" w:rsidRPr="007020C2" w:rsidTr="00B8681B">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Водоснабжение</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Водозаборы, водоочистные сооружения, насосные станции, магистральные сети</w:t>
            </w:r>
          </w:p>
        </w:tc>
      </w:tr>
      <w:tr w:rsidR="00676DEE" w:rsidRPr="007020C2" w:rsidTr="00B8681B">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Водоотведение</w:t>
            </w:r>
          </w:p>
        </w:tc>
        <w:tc>
          <w:tcPr>
            <w:tcW w:w="722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Канализационные очистные сооружения, головные канализационные насосные станции, канализационные насосные станции, магистральные сети</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b/>
          <w:bCs/>
          <w:color w:val="666666"/>
          <w:sz w:val="24"/>
          <w:szCs w:val="24"/>
          <w:bdr w:val="none" w:sz="0" w:space="0" w:color="auto" w:frame="1"/>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2.6.2. Минимальный уровень обеспеченности населения территорией для размещения объектов инженерной инфраструктуры в границах городского округа, определяется из расчета не менее 0,14 га на 1 тыс. человек.</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2.6.3. Показатели обеспечения жителей города Ногинска объектами газоснабжения принимаются в виде удельного месячного расхода природного газа на коммунально</w:t>
      </w:r>
      <w:r w:rsidR="00B54747"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бытовые нужды в расчете на одного жителя в месяц приведены в таблице 20.</w:t>
      </w:r>
    </w:p>
    <w:p w:rsidR="0027779C" w:rsidRPr="007020C2" w:rsidRDefault="0027779C" w:rsidP="00B70DDE">
      <w:pPr>
        <w:spacing w:after="0"/>
        <w:ind w:firstLine="567"/>
        <w:jc w:val="both"/>
        <w:textAlignment w:val="baseline"/>
        <w:rPr>
          <w:rFonts w:ascii="Times New Roman" w:eastAsia="Times New Roman" w:hAnsi="Times New Roman" w:cs="Times New Roman"/>
          <w:sz w:val="24"/>
          <w:szCs w:val="24"/>
          <w:lang w:eastAsia="ru-RU"/>
        </w:rPr>
      </w:pPr>
    </w:p>
    <w:p w:rsidR="0027779C" w:rsidRPr="007020C2" w:rsidRDefault="0027779C" w:rsidP="00B70DDE">
      <w:pPr>
        <w:spacing w:after="0"/>
        <w:ind w:firstLine="567"/>
        <w:jc w:val="both"/>
        <w:textAlignment w:val="baseline"/>
        <w:rPr>
          <w:rFonts w:ascii="Times New Roman" w:eastAsia="Times New Roman" w:hAnsi="Times New Roman" w:cs="Times New Roman"/>
          <w:sz w:val="24"/>
          <w:szCs w:val="24"/>
          <w:lang w:eastAsia="ru-RU"/>
        </w:rPr>
      </w:pPr>
    </w:p>
    <w:p w:rsidR="0027779C" w:rsidRPr="007020C2" w:rsidRDefault="0027779C" w:rsidP="00B70DDE">
      <w:pPr>
        <w:spacing w:after="0"/>
        <w:ind w:firstLine="567"/>
        <w:jc w:val="both"/>
        <w:textAlignment w:val="baseline"/>
        <w:rPr>
          <w:rFonts w:ascii="Times New Roman" w:eastAsia="Times New Roman" w:hAnsi="Times New Roman" w:cs="Times New Roman"/>
          <w:sz w:val="24"/>
          <w:szCs w:val="24"/>
          <w:lang w:eastAsia="ru-RU"/>
        </w:rPr>
      </w:pPr>
    </w:p>
    <w:p w:rsidR="0027779C" w:rsidRPr="007020C2" w:rsidRDefault="0027779C" w:rsidP="00B70DDE">
      <w:pPr>
        <w:spacing w:after="0"/>
        <w:ind w:firstLine="567"/>
        <w:jc w:val="both"/>
        <w:textAlignment w:val="baseline"/>
        <w:rPr>
          <w:rFonts w:ascii="Times New Roman" w:eastAsia="Times New Roman" w:hAnsi="Times New Roman" w:cs="Times New Roman"/>
          <w:sz w:val="24"/>
          <w:szCs w:val="24"/>
          <w:lang w:eastAsia="ru-RU"/>
        </w:rPr>
      </w:pPr>
    </w:p>
    <w:p w:rsidR="0027779C" w:rsidRPr="007020C2" w:rsidRDefault="0027779C" w:rsidP="00B70DDE">
      <w:pPr>
        <w:spacing w:after="0"/>
        <w:ind w:firstLine="567"/>
        <w:jc w:val="both"/>
        <w:textAlignment w:val="baseline"/>
        <w:rPr>
          <w:rFonts w:ascii="Times New Roman" w:eastAsia="Times New Roman" w:hAnsi="Times New Roman" w:cs="Times New Roman"/>
          <w:sz w:val="24"/>
          <w:szCs w:val="24"/>
          <w:lang w:eastAsia="ru-RU"/>
        </w:rPr>
      </w:pPr>
    </w:p>
    <w:p w:rsidR="0027779C" w:rsidRPr="007020C2" w:rsidRDefault="0027779C" w:rsidP="00B70DDE">
      <w:pPr>
        <w:spacing w:after="0"/>
        <w:ind w:firstLine="567"/>
        <w:jc w:val="both"/>
        <w:textAlignment w:val="baseline"/>
        <w:rPr>
          <w:rFonts w:ascii="Times New Roman" w:eastAsia="Times New Roman" w:hAnsi="Times New Roman" w:cs="Times New Roman"/>
          <w:sz w:val="24"/>
          <w:szCs w:val="24"/>
          <w:lang w:eastAsia="ru-RU"/>
        </w:rPr>
      </w:pP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20</w:t>
      </w:r>
    </w:p>
    <w:tbl>
      <w:tblPr>
        <w:tblW w:w="9915" w:type="dxa"/>
        <w:tblInd w:w="150" w:type="dxa"/>
        <w:tblCellMar>
          <w:left w:w="0" w:type="dxa"/>
          <w:right w:w="0" w:type="dxa"/>
        </w:tblCellMar>
        <w:tblLook w:val="04A0"/>
      </w:tblPr>
      <w:tblGrid>
        <w:gridCol w:w="796"/>
        <w:gridCol w:w="4591"/>
        <w:gridCol w:w="2402"/>
        <w:gridCol w:w="2126"/>
      </w:tblGrid>
      <w:tr w:rsidR="00676DEE" w:rsidRPr="007020C2" w:rsidTr="00B8681B">
        <w:trPr>
          <w:tblHeader/>
        </w:trPr>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п/п</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Направления использования природного газа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Единица измерения</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Нормативы потребления природного газа</w:t>
            </w:r>
          </w:p>
        </w:tc>
      </w:tr>
      <w:tr w:rsidR="00676DEE" w:rsidRPr="007020C2" w:rsidTr="00B8681B">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Приготовление пищи и нагрев воды с использованием газовой плиты при наличии центрального отопления и центрального горячего водоснабжения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/чел.</w:t>
            </w:r>
            <w:r w:rsidRPr="007020C2">
              <w:rPr>
                <w:rFonts w:ascii="Times New Roman" w:eastAsia="Times New Roman" w:hAnsi="Times New Roman" w:cs="Times New Roman"/>
                <w:lang w:eastAsia="ru-RU"/>
              </w:rPr>
              <w:br/>
              <w:t>(в месяц)</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w:t>
            </w:r>
          </w:p>
        </w:tc>
      </w:tr>
      <w:tr w:rsidR="00676DEE" w:rsidRPr="007020C2" w:rsidTr="00B8681B">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Приготовление пищи и нагрев воды с использованием газовой плиты и газового водонагревателя при отсутствии центрального горячего водоснабжения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/чел.</w:t>
            </w:r>
            <w:r w:rsidRPr="007020C2">
              <w:rPr>
                <w:rFonts w:ascii="Times New Roman" w:eastAsia="Times New Roman" w:hAnsi="Times New Roman" w:cs="Times New Roman"/>
                <w:lang w:eastAsia="ru-RU"/>
              </w:rPr>
              <w:br/>
              <w:t>(в месяц)</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23,1</w:t>
            </w:r>
          </w:p>
        </w:tc>
      </w:tr>
      <w:tr w:rsidR="00676DEE" w:rsidRPr="007020C2" w:rsidTr="00B8681B">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Приготовление пищи и нагрев воды с использованием газовой плиты при отсутствии газового водонагревателя и центрального горячего водоснабжения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/чел.</w:t>
            </w:r>
            <w:r w:rsidRPr="007020C2">
              <w:rPr>
                <w:rFonts w:ascii="Times New Roman" w:eastAsia="Times New Roman" w:hAnsi="Times New Roman" w:cs="Times New Roman"/>
                <w:lang w:eastAsia="ru-RU"/>
              </w:rPr>
              <w:br/>
              <w:t>(в месяц)</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11,6</w:t>
            </w:r>
          </w:p>
        </w:tc>
      </w:tr>
      <w:tr w:rsidR="00676DEE" w:rsidRPr="007020C2" w:rsidTr="00B8681B">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Нагрев воды с использованием газового водонагревателя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/чел.</w:t>
            </w:r>
            <w:r w:rsidRPr="007020C2">
              <w:rPr>
                <w:rFonts w:ascii="Times New Roman" w:eastAsia="Times New Roman" w:hAnsi="Times New Roman" w:cs="Times New Roman"/>
                <w:lang w:eastAsia="ru-RU"/>
              </w:rPr>
              <w:br/>
              <w:t>(в месяц)</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13,1</w:t>
            </w:r>
          </w:p>
        </w:tc>
      </w:tr>
      <w:tr w:rsidR="00676DEE" w:rsidRPr="007020C2" w:rsidTr="00B8681B">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Индивидуальное (поквартирное) отопление жилых помещений (жилых домов, квартир, комнат)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br/>
              <w:t>отапливаемой площади (в месяц)</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w:t>
            </w:r>
          </w:p>
        </w:tc>
      </w:tr>
      <w:tr w:rsidR="00676DEE" w:rsidRPr="007020C2" w:rsidTr="00B8681B">
        <w:tc>
          <w:tcPr>
            <w:tcW w:w="79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459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Прочие цели (отопление нежилых помещений)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br/>
              <w:t>отапливаемой площади (в месяц)</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26,0</w:t>
            </w:r>
          </w:p>
        </w:tc>
      </w:tr>
    </w:tbl>
    <w:p w:rsidR="00F639AF" w:rsidRPr="007020C2" w:rsidRDefault="00F639AF" w:rsidP="00676DEE">
      <w:pPr>
        <w:spacing w:after="0" w:line="240" w:lineRule="auto"/>
        <w:jc w:val="center"/>
        <w:textAlignment w:val="baseline"/>
        <w:rPr>
          <w:rFonts w:ascii="Times New Roman" w:eastAsia="Times New Roman" w:hAnsi="Times New Roman" w:cs="Times New Roman"/>
          <w:color w:val="666666"/>
          <w:sz w:val="24"/>
          <w:szCs w:val="24"/>
          <w:lang w:eastAsia="ru-RU"/>
        </w:rPr>
      </w:pP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2.6.4. При наличии установленных и подключенных бытовых газовых плит и газовых водонагревателей в жилых помещениях (жилых домах, квартирах, комнатах) в случае отсутствия в них постоянно проживающих граждан, объем потребления природного газа рекомендуется определять в целом на жилое помещение (жилой дом, квартиру, комнату), исходя из среднестатистического количества членов семьи в Московской области.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2.6.5. Расчетные показатели теплоснабжения жителей,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«Тепловая защита зданий». Актуализированная редакция СНиП 23</w:t>
      </w:r>
      <w:r w:rsidR="0027779C"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02</w:t>
      </w:r>
      <w:r w:rsidR="0027779C"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2003.</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2.6.6. Расчетные показатели водоснабжения жителей, в виде нормативов потребления холодного и горячего водоснабжения, водоотведения принимаются в соответствии со сводом правил СП 30.13330.2012 «Внутренний водопровод и канализация зданий». Актуализированная редакция СНиП 2.04.01</w:t>
      </w:r>
      <w:r w:rsidR="0027779C"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85* раздел 10, приложение 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2.6.7. Расчетные показатели энергоснабжения жителей, в виде нормативов потребления электроэнергии, принимаются в соответствии со сводом правил СП 31</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110</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2003 «Проектирование и монтаж электроустановок жилых и общественных зданий»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раздел 6.</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2.6.8. 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w:t>
      </w:r>
      <w:r w:rsidR="0027779C"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01</w:t>
      </w:r>
      <w:r w:rsidR="0027779C"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2003 «Здания жилые многоквартирные».</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2.6.9. В сельских населенных пунктах, не имеющих централизованного водоснабжения, предусматриваются водозаборные узлы, обеспечивающие потребности населения в воде на жилищно</w:t>
      </w:r>
      <w:r w:rsidR="00B54747"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коммунальные нужды и пожаротушение.</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2.6.10. Максимальные размеры земельных участков для размещения водоочистных сооружений в зависимости от их производительности приведены в таблице 21.</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21</w:t>
      </w:r>
    </w:p>
    <w:tbl>
      <w:tblPr>
        <w:tblW w:w="9923" w:type="dxa"/>
        <w:tblInd w:w="150" w:type="dxa"/>
        <w:tblCellMar>
          <w:left w:w="0" w:type="dxa"/>
          <w:right w:w="0" w:type="dxa"/>
        </w:tblCellMar>
        <w:tblLook w:val="04A0"/>
      </w:tblPr>
      <w:tblGrid>
        <w:gridCol w:w="4962"/>
        <w:gridCol w:w="4961"/>
      </w:tblGrid>
      <w:tr w:rsidR="00F639AF" w:rsidRPr="007020C2" w:rsidTr="00676DEE">
        <w:trPr>
          <w:trHeight w:val="550"/>
          <w:tblHeader/>
        </w:trPr>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Производительность, тыс. м</w:t>
            </w:r>
            <w:r w:rsidRPr="007020C2">
              <w:rPr>
                <w:rFonts w:ascii="Times New Roman" w:eastAsia="Times New Roman" w:hAnsi="Times New Roman" w:cs="Times New Roman"/>
                <w:vertAlign w:val="superscript"/>
                <w:lang w:eastAsia="ru-RU"/>
              </w:rPr>
              <w:t>3</w:t>
            </w:r>
            <w:r w:rsidRPr="007020C2">
              <w:rPr>
                <w:rFonts w:ascii="Times New Roman" w:eastAsia="Times New Roman" w:hAnsi="Times New Roman" w:cs="Times New Roman"/>
                <w:lang w:eastAsia="ru-RU"/>
              </w:rPr>
              <w:t>/сут.</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Площадь, га</w:t>
            </w:r>
          </w:p>
        </w:tc>
      </w:tr>
      <w:tr w:rsidR="00F639AF" w:rsidRPr="007020C2" w:rsidTr="00676DEE">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0,1</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w:t>
            </w:r>
          </w:p>
        </w:tc>
      </w:tr>
      <w:tr w:rsidR="00F639AF" w:rsidRPr="007020C2" w:rsidTr="00676DEE">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0,1 до 0,4</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0,35</w:t>
            </w:r>
          </w:p>
        </w:tc>
      </w:tr>
      <w:tr w:rsidR="00F639AF" w:rsidRPr="007020C2" w:rsidTr="00676DEE">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0,4 до 0,8</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w:t>
            </w:r>
          </w:p>
        </w:tc>
      </w:tr>
      <w:tr w:rsidR="00F639AF" w:rsidRPr="007020C2" w:rsidTr="00676DEE">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0,8 до 1,5</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0,7</w:t>
            </w:r>
          </w:p>
        </w:tc>
      </w:tr>
      <w:tr w:rsidR="00F639AF" w:rsidRPr="007020C2" w:rsidTr="00676DEE">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1,5 до 3,0</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r>
      <w:tr w:rsidR="00F639AF" w:rsidRPr="007020C2" w:rsidTr="00676DEE">
        <w:trPr>
          <w:trHeight w:val="419"/>
        </w:trPr>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3,0 до 10</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676DEE">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p>
        </w:tc>
      </w:tr>
    </w:tbl>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2.6.11. Для отдельно стоящих неканализованных индивидуальных жилых домов при расходе сточных вод до 1 м</w:t>
      </w:r>
      <w:r w:rsidRPr="007020C2">
        <w:rPr>
          <w:rFonts w:ascii="Times New Roman" w:eastAsia="Times New Roman" w:hAnsi="Times New Roman" w:cs="Times New Roman"/>
          <w:sz w:val="24"/>
          <w:szCs w:val="24"/>
          <w:vertAlign w:val="superscript"/>
          <w:lang w:eastAsia="ru-RU"/>
        </w:rPr>
        <w:t>3</w:t>
      </w:r>
      <w:r w:rsidRPr="007020C2">
        <w:rPr>
          <w:rFonts w:ascii="Times New Roman" w:eastAsia="Times New Roman" w:hAnsi="Times New Roman" w:cs="Times New Roman"/>
          <w:sz w:val="24"/>
          <w:szCs w:val="24"/>
          <w:lang w:eastAsia="ru-RU"/>
        </w:rPr>
        <w:t>/сут. допускается применение гидроизолированных снаружи и изнутри выгребов с вывозом стоков на очистные сооружения полной биологической очистки.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2.6.12. Максимальный размер земельного участка для размещения понизительных подстанций напряжением 35 кВ и выше принимается 0,6 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lastRenderedPageBreak/>
        <w:t>2.6.13. Максимальные размеры земельных участков для размещения котельных в зависимости от их производительности приведены в таблице 22.</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22</w:t>
      </w:r>
    </w:p>
    <w:tbl>
      <w:tblPr>
        <w:tblW w:w="9923" w:type="dxa"/>
        <w:tblInd w:w="150" w:type="dxa"/>
        <w:tblCellMar>
          <w:left w:w="0" w:type="dxa"/>
          <w:right w:w="0" w:type="dxa"/>
        </w:tblCellMar>
        <w:tblLook w:val="04A0"/>
      </w:tblPr>
      <w:tblGrid>
        <w:gridCol w:w="4962"/>
        <w:gridCol w:w="4961"/>
      </w:tblGrid>
      <w:tr w:rsidR="002643E1" w:rsidRPr="007020C2" w:rsidTr="002643E1">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Теплопроизводительность, Гкал/час</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Площадь, га</w:t>
            </w:r>
          </w:p>
        </w:tc>
      </w:tr>
      <w:tr w:rsidR="002643E1" w:rsidRPr="007020C2" w:rsidTr="002643E1">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5</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0,7</w:t>
            </w:r>
          </w:p>
        </w:tc>
      </w:tr>
      <w:tr w:rsidR="002643E1" w:rsidRPr="007020C2" w:rsidTr="002643E1">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5 до 10</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r>
      <w:tr w:rsidR="002643E1" w:rsidRPr="007020C2" w:rsidTr="002643E1">
        <w:tc>
          <w:tcPr>
            <w:tcW w:w="4962"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от 10 до 50</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2.6.14. В зонах застройки многоэтажными многоквартирными домами следует предусматривать дождевую канализацию закрытого типа. Применение открытых водоотводящих устройств (канав, кюветов, лотков) допускается на территории парков с устройством мостиков или труб на пересечении с улицами, дорогами, проездами и тротуарами.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2.6.15. Размещение подземных инженерных сетей, за исключением газовых сетей низкого давления и кабельных сетей, предусматривается преимущественно в пределах поперечных профилей улиц и дорог.</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2.6.16. Размещение газовых сетей низкого давления и кабельных сетей (силовые, связи, сигнализации и диспетчерские) предусматривается вне пределов поперечных профилей улиц и дорог.</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 Расчетные показатели в области благоустройства придомовой территории.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2.7.1. 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 подходы и подъезды к дому;</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 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 территория зеленых насаждений с площадками для игр детей и отдыха взрослых, занятий физической культурой и спортом;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 хозяйственные (контейнерные) площадки для сбора мусора.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2.7.2. Для расчета минимального размера элемента придомовой территории используется безразмерный показатель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и пристроенных помещений многоквартирного жилого дома в квадратных метрах. Показатели минимальной удельной площади придомовой территории и отдельных ее элементов для многоквартирных жилых домов различной средней этажности в городских насе</w:t>
      </w:r>
      <w:r w:rsidR="00B54747" w:rsidRPr="007020C2">
        <w:rPr>
          <w:rFonts w:ascii="Times New Roman" w:eastAsia="Times New Roman" w:hAnsi="Times New Roman" w:cs="Times New Roman"/>
          <w:sz w:val="24"/>
          <w:szCs w:val="24"/>
          <w:lang w:eastAsia="ru-RU"/>
        </w:rPr>
        <w:t>л</w:t>
      </w:r>
      <w:r w:rsidRPr="007020C2">
        <w:rPr>
          <w:rFonts w:ascii="Times New Roman" w:eastAsia="Times New Roman" w:hAnsi="Times New Roman" w:cs="Times New Roman"/>
          <w:sz w:val="24"/>
          <w:szCs w:val="24"/>
          <w:lang w:eastAsia="ru-RU"/>
        </w:rPr>
        <w:t>енных пунктах приведены в таблице 23.</w:t>
      </w: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23</w:t>
      </w:r>
    </w:p>
    <w:tbl>
      <w:tblPr>
        <w:tblW w:w="9924" w:type="dxa"/>
        <w:tblInd w:w="150" w:type="dxa"/>
        <w:tblLayout w:type="fixed"/>
        <w:tblCellMar>
          <w:left w:w="0" w:type="dxa"/>
          <w:right w:w="0" w:type="dxa"/>
        </w:tblCellMar>
        <w:tblLook w:val="04A0"/>
      </w:tblPr>
      <w:tblGrid>
        <w:gridCol w:w="3544"/>
        <w:gridCol w:w="851"/>
        <w:gridCol w:w="709"/>
        <w:gridCol w:w="708"/>
        <w:gridCol w:w="709"/>
        <w:gridCol w:w="709"/>
        <w:gridCol w:w="708"/>
        <w:gridCol w:w="709"/>
        <w:gridCol w:w="649"/>
        <w:gridCol w:w="628"/>
      </w:tblGrid>
      <w:tr w:rsidR="002643E1" w:rsidRPr="007020C2" w:rsidTr="006E4C17">
        <w:trPr>
          <w:trHeight w:val="511"/>
        </w:trPr>
        <w:tc>
          <w:tcPr>
            <w:tcW w:w="354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Придомовая территория многоквартирного жилого дома и </w:t>
            </w:r>
            <w:r w:rsidRPr="007020C2">
              <w:rPr>
                <w:rFonts w:ascii="Times New Roman" w:eastAsia="Times New Roman" w:hAnsi="Times New Roman" w:cs="Times New Roman"/>
                <w:lang w:eastAsia="ru-RU"/>
              </w:rPr>
              <w:lastRenderedPageBreak/>
              <w:t>ее элементы</w:t>
            </w:r>
          </w:p>
        </w:tc>
        <w:tc>
          <w:tcPr>
            <w:tcW w:w="6380" w:type="dxa"/>
            <w:gridSpan w:val="9"/>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Минимальная удельная площадь придомовой территории</w:t>
            </w:r>
          </w:p>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 отдельных ее элементов</w:t>
            </w:r>
          </w:p>
        </w:tc>
      </w:tr>
      <w:tr w:rsidR="002643E1" w:rsidRPr="007020C2" w:rsidTr="006E4C17">
        <w:trPr>
          <w:trHeight w:val="976"/>
        </w:trPr>
        <w:tc>
          <w:tcPr>
            <w:tcW w:w="354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2643E1">
            <w:pPr>
              <w:spacing w:after="0" w:line="240" w:lineRule="auto"/>
              <w:jc w:val="center"/>
              <w:rPr>
                <w:rFonts w:ascii="Times New Roman" w:eastAsia="Times New Roman" w:hAnsi="Times New Roman" w:cs="Times New Roman"/>
                <w:lang w:eastAsia="ru-RU"/>
              </w:rPr>
            </w:pPr>
          </w:p>
        </w:tc>
        <w:tc>
          <w:tcPr>
            <w:tcW w:w="2268"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 Ногинск</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Города Старая Купавна и Электроугли</w:t>
            </w:r>
          </w:p>
        </w:tc>
        <w:tc>
          <w:tcPr>
            <w:tcW w:w="1986"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Рабочие посёлки им. Воровского и Обухово</w:t>
            </w:r>
          </w:p>
        </w:tc>
      </w:tr>
      <w:tr w:rsidR="00484F1D" w:rsidRPr="007020C2" w:rsidTr="00484F1D">
        <w:tc>
          <w:tcPr>
            <w:tcW w:w="354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84F1D" w:rsidRPr="007020C2" w:rsidRDefault="00484F1D" w:rsidP="002643E1">
            <w:pPr>
              <w:spacing w:after="0" w:line="240" w:lineRule="auto"/>
              <w:jc w:val="center"/>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 эт.</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 эт.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AC36BF">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 эт.</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AC36BF">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 эт.</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эт.</w:t>
            </w:r>
          </w:p>
        </w:tc>
        <w:tc>
          <w:tcPr>
            <w:tcW w:w="649" w:type="dxa"/>
            <w:tcBorders>
              <w:top w:val="single" w:sz="6" w:space="0" w:color="000000"/>
              <w:left w:val="single" w:sz="6" w:space="0" w:color="000000"/>
              <w:bottom w:val="single" w:sz="6" w:space="0" w:color="000000"/>
              <w:right w:val="single" w:sz="4" w:space="0" w:color="auto"/>
            </w:tcBorders>
            <w:shd w:val="clear" w:color="auto" w:fill="auto"/>
            <w:tcMar>
              <w:top w:w="150" w:type="dxa"/>
              <w:left w:w="150" w:type="dxa"/>
              <w:bottom w:w="150" w:type="dxa"/>
              <w:right w:w="150" w:type="dxa"/>
            </w:tcMar>
            <w:hideMark/>
          </w:tcPr>
          <w:p w:rsidR="00484F1D" w:rsidRPr="007020C2" w:rsidRDefault="00484F1D" w:rsidP="00AC36BF">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 эт.</w:t>
            </w:r>
          </w:p>
        </w:tc>
        <w:tc>
          <w:tcPr>
            <w:tcW w:w="628" w:type="dxa"/>
            <w:tcBorders>
              <w:top w:val="single" w:sz="6" w:space="0" w:color="000000"/>
              <w:left w:val="single" w:sz="4" w:space="0" w:color="auto"/>
              <w:bottom w:val="single" w:sz="6" w:space="0" w:color="000000"/>
              <w:right w:val="single" w:sz="6" w:space="0" w:color="000000"/>
            </w:tcBorders>
            <w:shd w:val="clear" w:color="auto" w:fill="auto"/>
          </w:tcPr>
          <w:p w:rsidR="00484F1D" w:rsidRPr="007020C2" w:rsidRDefault="00484F1D" w:rsidP="00484F1D">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 эт.</w:t>
            </w:r>
          </w:p>
        </w:tc>
      </w:tr>
      <w:tr w:rsidR="00484F1D" w:rsidRPr="007020C2" w:rsidTr="00484F1D">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8" w:right="-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Стоянки для хранения индивидуального автомобильного транспорта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A13E89">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w:t>
            </w:r>
            <w:r w:rsidR="00A13E89" w:rsidRPr="007020C2">
              <w:rPr>
                <w:rFonts w:ascii="Times New Roman" w:eastAsia="Times New Roman" w:hAnsi="Times New Roman" w:cs="Times New Roman"/>
                <w:lang w:eastAsia="ru-RU"/>
              </w:rPr>
              <w:t>7</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FA6C7D">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0,19</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FA6C7D">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484F1D">
            <w:pPr>
              <w:spacing w:after="0" w:line="240" w:lineRule="auto"/>
              <w:ind w:left="-150" w:right="-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0,25</w:t>
            </w:r>
          </w:p>
        </w:tc>
        <w:tc>
          <w:tcPr>
            <w:tcW w:w="649" w:type="dxa"/>
            <w:tcBorders>
              <w:top w:val="single" w:sz="6" w:space="0" w:color="000000"/>
              <w:left w:val="single" w:sz="6" w:space="0" w:color="000000"/>
              <w:bottom w:val="single" w:sz="6" w:space="0" w:color="000000"/>
              <w:right w:val="single" w:sz="4" w:space="0" w:color="auto"/>
            </w:tcBorders>
            <w:shd w:val="clear" w:color="auto" w:fill="auto"/>
            <w:tcMar>
              <w:top w:w="150" w:type="dxa"/>
              <w:left w:w="150" w:type="dxa"/>
              <w:bottom w:w="150" w:type="dxa"/>
              <w:right w:w="150" w:type="dxa"/>
            </w:tcMar>
            <w:hideMark/>
          </w:tcPr>
          <w:p w:rsidR="00484F1D" w:rsidRPr="007020C2" w:rsidRDefault="00484F1D" w:rsidP="00484F1D">
            <w:pPr>
              <w:spacing w:after="0" w:line="240" w:lineRule="auto"/>
              <w:ind w:left="-150" w:right="-68"/>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0,20</w:t>
            </w:r>
          </w:p>
        </w:tc>
        <w:tc>
          <w:tcPr>
            <w:tcW w:w="628" w:type="dxa"/>
            <w:tcBorders>
              <w:top w:val="single" w:sz="6" w:space="0" w:color="000000"/>
              <w:left w:val="single" w:sz="4" w:space="0" w:color="auto"/>
              <w:bottom w:val="single" w:sz="6" w:space="0" w:color="000000"/>
              <w:right w:val="single" w:sz="6" w:space="0" w:color="000000"/>
            </w:tcBorders>
            <w:shd w:val="clear" w:color="auto" w:fill="auto"/>
          </w:tcPr>
          <w:p w:rsidR="00484F1D" w:rsidRPr="007020C2" w:rsidRDefault="00484F1D" w:rsidP="002643E1">
            <w:pPr>
              <w:spacing w:after="0" w:line="240" w:lineRule="auto"/>
              <w:ind w:lef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0,18</w:t>
            </w:r>
          </w:p>
        </w:tc>
      </w:tr>
      <w:tr w:rsidR="00484F1D" w:rsidRPr="007020C2" w:rsidTr="00484F1D">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8" w:right="-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Территория зеленых насаждений с площадками для игр детей и отдыха взрослых, занятий физической культурой и спортом</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0,345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0,345</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0,345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484F1D">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0,44</w:t>
            </w:r>
          </w:p>
        </w:tc>
        <w:tc>
          <w:tcPr>
            <w:tcW w:w="649" w:type="dxa"/>
            <w:tcBorders>
              <w:top w:val="single" w:sz="6" w:space="0" w:color="000000"/>
              <w:left w:val="single" w:sz="6" w:space="0" w:color="000000"/>
              <w:bottom w:val="single" w:sz="6" w:space="0" w:color="000000"/>
              <w:right w:val="single" w:sz="4" w:space="0" w:color="auto"/>
            </w:tcBorders>
            <w:shd w:val="clear" w:color="auto" w:fill="auto"/>
            <w:tcMar>
              <w:top w:w="150" w:type="dxa"/>
              <w:left w:w="150" w:type="dxa"/>
              <w:bottom w:w="150" w:type="dxa"/>
              <w:right w:w="150" w:type="dxa"/>
            </w:tcMar>
            <w:hideMark/>
          </w:tcPr>
          <w:p w:rsidR="00484F1D" w:rsidRPr="007020C2" w:rsidRDefault="00484F1D" w:rsidP="00484F1D">
            <w:pPr>
              <w:spacing w:after="0" w:line="240" w:lineRule="auto"/>
              <w:ind w:left="-150" w:right="-68"/>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0,44</w:t>
            </w:r>
          </w:p>
        </w:tc>
        <w:tc>
          <w:tcPr>
            <w:tcW w:w="628" w:type="dxa"/>
            <w:tcBorders>
              <w:top w:val="single" w:sz="6" w:space="0" w:color="000000"/>
              <w:left w:val="single" w:sz="4" w:space="0" w:color="auto"/>
              <w:bottom w:val="single" w:sz="6" w:space="0" w:color="000000"/>
              <w:right w:val="single" w:sz="6" w:space="0" w:color="000000"/>
            </w:tcBorders>
            <w:shd w:val="clear" w:color="auto" w:fill="auto"/>
          </w:tcPr>
          <w:p w:rsidR="00484F1D" w:rsidRPr="007020C2" w:rsidRDefault="00484F1D" w:rsidP="002643E1">
            <w:pPr>
              <w:spacing w:after="0" w:line="240" w:lineRule="auto"/>
              <w:ind w:left="-150" w:firstLine="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0,44</w:t>
            </w:r>
          </w:p>
        </w:tc>
      </w:tr>
      <w:tr w:rsidR="00484F1D" w:rsidRPr="007020C2" w:rsidTr="00484F1D">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8" w:right="-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Хозяйственные (контейнерные) площадки для сбора мусора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484F1D">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649" w:type="dxa"/>
            <w:tcBorders>
              <w:top w:val="single" w:sz="6" w:space="0" w:color="000000"/>
              <w:left w:val="single" w:sz="6" w:space="0" w:color="000000"/>
              <w:bottom w:val="single" w:sz="6" w:space="0" w:color="000000"/>
              <w:right w:val="single" w:sz="4" w:space="0" w:color="auto"/>
            </w:tcBorders>
            <w:shd w:val="clear" w:color="auto" w:fill="auto"/>
            <w:tcMar>
              <w:top w:w="150" w:type="dxa"/>
              <w:left w:w="150" w:type="dxa"/>
              <w:bottom w:w="150" w:type="dxa"/>
              <w:right w:w="150" w:type="dxa"/>
            </w:tcMar>
            <w:hideMark/>
          </w:tcPr>
          <w:p w:rsidR="00484F1D" w:rsidRPr="007020C2" w:rsidRDefault="00484F1D" w:rsidP="00484F1D">
            <w:pPr>
              <w:spacing w:after="0" w:line="240" w:lineRule="auto"/>
              <w:ind w:left="-150" w:right="-68"/>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c>
          <w:tcPr>
            <w:tcW w:w="628" w:type="dxa"/>
            <w:tcBorders>
              <w:top w:val="single" w:sz="6" w:space="0" w:color="000000"/>
              <w:left w:val="single" w:sz="4" w:space="0" w:color="auto"/>
              <w:bottom w:val="single" w:sz="6" w:space="0" w:color="000000"/>
              <w:right w:val="single" w:sz="6" w:space="0" w:color="000000"/>
            </w:tcBorders>
            <w:shd w:val="clear" w:color="auto" w:fill="auto"/>
          </w:tcPr>
          <w:p w:rsidR="00484F1D" w:rsidRPr="007020C2" w:rsidRDefault="00484F1D" w:rsidP="002643E1">
            <w:pPr>
              <w:spacing w:after="0" w:line="240" w:lineRule="auto"/>
              <w:ind w:left="-150" w:firstLine="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0,005</w:t>
            </w:r>
          </w:p>
        </w:tc>
      </w:tr>
      <w:tr w:rsidR="00484F1D" w:rsidRPr="007020C2" w:rsidTr="00484F1D">
        <w:tc>
          <w:tcPr>
            <w:tcW w:w="354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8" w:right="-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Придомовая территория в целом</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E85F18">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r w:rsidR="00A13E89" w:rsidRPr="007020C2">
              <w:rPr>
                <w:rFonts w:ascii="Times New Roman" w:eastAsia="Times New Roman" w:hAnsi="Times New Roman" w:cs="Times New Roman"/>
                <w:lang w:eastAsia="ru-RU"/>
              </w:rPr>
              <w:t>8</w:t>
            </w:r>
            <w:r w:rsidR="00E85F18" w:rsidRPr="007020C2">
              <w:rPr>
                <w:rFonts w:ascii="Times New Roman" w:eastAsia="Times New Roman" w:hAnsi="Times New Roman" w:cs="Times New Roman"/>
                <w:lang w:eastAsia="ru-RU"/>
              </w:rPr>
              <w:t>0</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0,67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2643E1">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1,39</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7D4732">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r w:rsidR="007D4732" w:rsidRPr="007020C2">
              <w:rPr>
                <w:rFonts w:ascii="Times New Roman" w:eastAsia="Times New Roman" w:hAnsi="Times New Roman" w:cs="Times New Roman"/>
                <w:lang w:eastAsia="ru-RU"/>
              </w:rPr>
              <w:t>89</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E85F18">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0,7</w:t>
            </w:r>
            <w:r w:rsidR="00E85F18" w:rsidRPr="007020C2">
              <w:rPr>
                <w:rFonts w:ascii="Times New Roman" w:eastAsia="Times New Roman" w:hAnsi="Times New Roman" w:cs="Times New Roman"/>
                <w:lang w:eastAsia="ru-RU"/>
              </w:rPr>
              <w:t>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484F1D" w:rsidRPr="007020C2" w:rsidRDefault="00484F1D" w:rsidP="00E85F18">
            <w:pPr>
              <w:spacing w:after="0" w:line="240" w:lineRule="auto"/>
              <w:ind w:left="-150" w:right="-150" w:firstLine="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r w:rsidR="00C94B42" w:rsidRPr="007020C2">
              <w:rPr>
                <w:rFonts w:ascii="Times New Roman" w:eastAsia="Times New Roman" w:hAnsi="Times New Roman" w:cs="Times New Roman"/>
                <w:lang w:eastAsia="ru-RU"/>
              </w:rPr>
              <w:t>4</w:t>
            </w:r>
            <w:r w:rsidR="00E85F18" w:rsidRPr="007020C2">
              <w:rPr>
                <w:rFonts w:ascii="Times New Roman" w:eastAsia="Times New Roman" w:hAnsi="Times New Roman" w:cs="Times New Roman"/>
                <w:lang w:eastAsia="ru-RU"/>
              </w:rPr>
              <w:t>3</w:t>
            </w:r>
          </w:p>
        </w:tc>
        <w:tc>
          <w:tcPr>
            <w:tcW w:w="649" w:type="dxa"/>
            <w:tcBorders>
              <w:top w:val="single" w:sz="6" w:space="0" w:color="000000"/>
              <w:left w:val="single" w:sz="6" w:space="0" w:color="000000"/>
              <w:bottom w:val="single" w:sz="6" w:space="0" w:color="000000"/>
              <w:right w:val="single" w:sz="4" w:space="0" w:color="auto"/>
            </w:tcBorders>
            <w:shd w:val="clear" w:color="auto" w:fill="auto"/>
            <w:tcMar>
              <w:top w:w="150" w:type="dxa"/>
              <w:left w:w="150" w:type="dxa"/>
              <w:bottom w:w="150" w:type="dxa"/>
              <w:right w:w="150" w:type="dxa"/>
            </w:tcMar>
            <w:hideMark/>
          </w:tcPr>
          <w:p w:rsidR="00484F1D" w:rsidRPr="007020C2" w:rsidRDefault="007D4732" w:rsidP="00E85F18">
            <w:pPr>
              <w:spacing w:after="0" w:line="240" w:lineRule="auto"/>
              <w:ind w:left="-150" w:right="-68"/>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r w:rsidR="00484F1D"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9</w:t>
            </w:r>
            <w:r w:rsidR="00E85F18" w:rsidRPr="007020C2">
              <w:rPr>
                <w:rFonts w:ascii="Times New Roman" w:eastAsia="Times New Roman" w:hAnsi="Times New Roman" w:cs="Times New Roman"/>
                <w:lang w:eastAsia="ru-RU"/>
              </w:rPr>
              <w:t>2</w:t>
            </w:r>
          </w:p>
        </w:tc>
        <w:tc>
          <w:tcPr>
            <w:tcW w:w="628" w:type="dxa"/>
            <w:tcBorders>
              <w:top w:val="single" w:sz="6" w:space="0" w:color="000000"/>
              <w:left w:val="single" w:sz="4" w:space="0" w:color="auto"/>
              <w:bottom w:val="single" w:sz="6" w:space="0" w:color="000000"/>
              <w:right w:val="single" w:sz="6" w:space="0" w:color="000000"/>
            </w:tcBorders>
            <w:shd w:val="clear" w:color="auto" w:fill="auto"/>
          </w:tcPr>
          <w:p w:rsidR="00484F1D" w:rsidRPr="007020C2" w:rsidRDefault="007D4732" w:rsidP="00E85F18">
            <w:pPr>
              <w:spacing w:after="0" w:line="240" w:lineRule="auto"/>
              <w:ind w:left="-150" w:firstLine="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w:t>
            </w:r>
            <w:r w:rsidR="00C94B42"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w:t>
            </w:r>
            <w:r w:rsidR="00E85F18" w:rsidRPr="007020C2">
              <w:rPr>
                <w:rFonts w:ascii="Times New Roman" w:eastAsia="Times New Roman" w:hAnsi="Times New Roman" w:cs="Times New Roman"/>
                <w:lang w:eastAsia="ru-RU"/>
              </w:rPr>
              <w:t>2</w:t>
            </w:r>
          </w:p>
        </w:tc>
      </w:tr>
    </w:tbl>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Примечания:</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для промежуточных значений средней этажности жилых домов минимальная удельная площадь придомовой территории и ее элементов рассчитывается методом линейной интерполяции;</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применительно к встроенным и пристроенным нежилым помещениям  допускается перераспределять до 60 % удельной площади территории зеленых насаждений с площадками для игр детей и отдыха взрослых, занятий физической культурой и спортом в пользу удельной площади приобъектных стоянок, обслуживающих нежилые помещения;</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допускается устройство общей контейнерной площадки для сбора мусора, обслуживающей несколько домов на смежных земельных участках;</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rsidR="00F639AF" w:rsidRPr="007020C2" w:rsidRDefault="00AE7596"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для общих внутриквартальных детских и спортивных площадок;</w:t>
      </w:r>
    </w:p>
    <w:p w:rsidR="00F639AF" w:rsidRPr="007020C2" w:rsidRDefault="00AE7596"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для внутриквартального озеленения;</w:t>
      </w:r>
    </w:p>
    <w:p w:rsidR="00F639AF" w:rsidRPr="007020C2" w:rsidRDefault="00AE7596"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для стоянок (в том числе многоэтажных и подземных) индивидуального автомобильного транспорта жителей многоквартирных домов квартала;</w:t>
      </w:r>
    </w:p>
    <w:p w:rsidR="00F639AF" w:rsidRPr="007020C2" w:rsidRDefault="00F639AF" w:rsidP="00E22D88">
      <w:pPr>
        <w:spacing w:after="0"/>
        <w:ind w:firstLine="567"/>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размеры, требования к размещению, покрытию и иные характеристики детских, спортивных, контейнерных площадок и п</w:t>
      </w:r>
      <w:r w:rsidR="00023C42">
        <w:rPr>
          <w:rFonts w:ascii="Times New Roman" w:eastAsia="Times New Roman" w:hAnsi="Times New Roman" w:cs="Times New Roman"/>
          <w:lang w:eastAsia="ru-RU"/>
        </w:rPr>
        <w:t>лощадок для отдыха установлены </w:t>
      </w:r>
      <w:r w:rsidRPr="007020C2">
        <w:rPr>
          <w:rFonts w:ascii="Times New Roman" w:eastAsia="Times New Roman" w:hAnsi="Times New Roman" w:cs="Times New Roman"/>
          <w:lang w:eastAsia="ru-RU"/>
        </w:rPr>
        <w:t>статьями 12</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14 Закона Московской области 30.12.2014 № 191/2014</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ОЗ «О благоустройстве в Московской области» и регламентированы Правилами благоустройства территории Богородского городс</w:t>
      </w:r>
      <w:r w:rsidR="00023C42">
        <w:rPr>
          <w:rFonts w:ascii="Times New Roman" w:eastAsia="Times New Roman" w:hAnsi="Times New Roman" w:cs="Times New Roman"/>
          <w:lang w:eastAsia="ru-RU"/>
        </w:rPr>
        <w:t>кого округа Московской области.</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2.7.3. Придомовые площадки размещаются от окон жилых и общественных зданий на расстоянии: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для игр детей дошкольного и младшего школьного возраста – не менее 12 м,</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для отдыха взрослого населения </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не менее 10 м,</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для занятий физической культурой </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не менее 10 м (спортивные площадки для футбола, хоккея и других командных игровых видов спорта </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не менее 40 м),</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для мусоросборников </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не менее 20 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lastRenderedPageBreak/>
        <w:t>2.7.4. Расстояния от контейнерных площадок до площадок для отдыха, игр и занятий физической культурой, а также до границ детских дошкольных организаций и лечебных учреждений следует принимать не менее 20 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2.7.5. На территории жилой застройки с многоквартирными домами, не оборудованными мусоросборными камерами, расстояние подходов к контейнерным площадкам для сбора твердых бытовых отходов следует принимать не более 100 м. В случаях, когда вывоз крупногабаритного мусора, организован по специальному графику либо по вызовам специальных автомобилей, допускается не планировать устройство площадок для складирования крупногабаритного мусора. Размеры территории для размещения контейнерных площадок определяются в зависимости от показателя расчета накопления твердых бытовых отходов на жителя в год, количества жителей, а также типа, вместимости и количества контейнеров, с соблюдением норматива удельного размера хозяйственной площадки, приведенного в таблице 23. К контейнерным площадкам должны быть обеспечены подъезды, позволяющие маневрировать обслуживающему мусоровозному транспорту.</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2.7.6. Хозяйственные площадки на территориях, застроенных индивидуальными жилыми домами, предусматриваются в пределах земельных участков, на которых размещаются эти дома (кроме площадок для мусоросборников, размещаемых из расчета 1 контейнер на 10</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15 домов, но не далее чем в 100 м от входа в дом).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2.7.7. К каждому земельному участку индивидуальной жилой застройки предусматривается проезд с твердым покрытием шириной не менее 3,5 м с устройством необходимых разъездных карманов.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2.7.8. Тупиковые проезды заканчиваются разворотными площадками размерами 15х15 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2.7.9. Минимальные расстояния от индивидуальных жилых домов и хозяйственных построек на одном земельном участке до индивидуальных жилых домов и хозяйственных построек на соседних земельных участках принимаются в соответствии с требованиями технических регламентов.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2.7.10. На земельном участке расстояние от его границы до стены индивидуального жилого дома принимается не менее 3 м, до хозяйственных построек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не менее 1 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2.7.11. При отсутствии централизованной канализации расстояние от туалета до стен соседнего дома принимается не менее 12 м, до источника водоснабжения (колодца) – не менее 25 м.</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2.7.12. Общественные туалеты размещаются на расстоянии не менее 50 м от жилых и общественных зданий из расчета 1 прибор на 1 тыс. человек.</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2.7.13. Отдельно стоящие инженерные сооружения (трансформаторные подстанции, насосные, котельные и т.п.), как правило, должны иметь самостоятельные земельные участки. При сохранении и размещении инженерных сооружений в границах земельных участков другого назначения следует предусматривать беспрепятственный подход и подъезд к этим сооружениям, а также другие условия их нормального функционирования.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2.8. Расчетные показатели мест захоронения.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2.8.1. Площадь земельного участка для кладбища принимается из расчета 0,24 га на 1 тыс. жителей, но не менее 0,5 га и не более 40 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2.8.2.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2.8.3. Устройство автостоянок осуществляется из расчета 10 парковочных мест на 1 га территории общественного кладбища. Н а каждой автостоянке должно выделяться не менее 10 </w:t>
      </w:r>
      <w:r w:rsidRPr="007020C2">
        <w:rPr>
          <w:rFonts w:ascii="Times New Roman" w:eastAsia="Times New Roman" w:hAnsi="Times New Roman" w:cs="Times New Roman"/>
          <w:sz w:val="24"/>
          <w:szCs w:val="24"/>
          <w:lang w:eastAsia="ru-RU"/>
        </w:rPr>
        <w:lastRenderedPageBreak/>
        <w:t>процентов (но не менее одного места) для парковки специальных автотранспортных средств инвалидов.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2.9. Расчетные показатели в областях территориальной обороны, гражданской обороны, защиты населения и территории от чрезвычайных ситуаций природного и техногенного характера.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2.9.1. Объекты местного значения, необходимые для осуществления мероприятий по территориальной обороне и гражданской обороне на территории городского округа проектируются в соответствии с требованиями Федерального закона от 12.02.1998 № 28</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ФЗ «О гражданской обороне» с учетом требований СНиП 2.01.51</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90 «Инженерно</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технические мероприятия гражданской обороны».</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2.9.2.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w:t>
      </w:r>
      <w:r w:rsidR="00880563" w:rsidRPr="007020C2">
        <w:rPr>
          <w:rFonts w:ascii="Times New Roman" w:eastAsia="Times New Roman" w:hAnsi="Times New Roman" w:cs="Times New Roman"/>
          <w:sz w:val="24"/>
          <w:szCs w:val="24"/>
          <w:lang w:eastAsia="ru-RU"/>
        </w:rPr>
        <w:t>городского округа</w:t>
      </w:r>
      <w:r w:rsidRPr="007020C2">
        <w:rPr>
          <w:rFonts w:ascii="Times New Roman" w:eastAsia="Times New Roman" w:hAnsi="Times New Roman" w:cs="Times New Roman"/>
          <w:sz w:val="24"/>
          <w:szCs w:val="24"/>
          <w:lang w:eastAsia="ru-RU"/>
        </w:rPr>
        <w:t xml:space="preserve"> проектируются в соответствии с требованиями Федерального закона от 21.12.1994 № 68</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ФЗ «О защите населения и территорий от чрезвычайных ситуаций природного и техногенного характера» с учетом требований ГОСТ Р 22.0.07</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95 и СП 11</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112</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2001.</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2.9.3. Объекты местного значения, для пожарной охраны проектируются в соответствии с требованиями Федерального закона от 22.07.2008 № 123</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следует принимать в соответствии с нормами пожарной безопасности НПБ 101</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95.</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p w:rsidR="00F639AF" w:rsidRPr="007020C2" w:rsidRDefault="00B70DDE" w:rsidP="00B70DDE">
      <w:pPr>
        <w:spacing w:after="0" w:line="240" w:lineRule="auto"/>
        <w:jc w:val="center"/>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3. </w:t>
      </w:r>
      <w:r w:rsidR="00F639AF" w:rsidRPr="007020C2">
        <w:rPr>
          <w:rFonts w:ascii="Times New Roman" w:eastAsia="Times New Roman" w:hAnsi="Times New Roman" w:cs="Times New Roman"/>
          <w:b/>
          <w:bCs/>
          <w:sz w:val="24"/>
          <w:szCs w:val="24"/>
          <w:bdr w:val="none" w:sz="0" w:space="0" w:color="auto" w:frame="1"/>
          <w:lang w:eastAsia="ru-RU"/>
        </w:rPr>
        <w:t>Материалы по обоснованию расчетных показателей, содержащихся в основной части нормативов градостроительного проектирования.</w:t>
      </w:r>
    </w:p>
    <w:p w:rsidR="00F639AF" w:rsidRPr="007020C2" w:rsidRDefault="00F639AF" w:rsidP="00B70DDE">
      <w:pPr>
        <w:spacing w:after="0" w:line="240" w:lineRule="auto"/>
        <w:jc w:val="center"/>
        <w:textAlignment w:val="baseline"/>
        <w:rPr>
          <w:rFonts w:ascii="Times New Roman" w:eastAsia="Times New Roman" w:hAnsi="Times New Roman" w:cs="Times New Roman"/>
          <w:sz w:val="24"/>
          <w:szCs w:val="24"/>
          <w:lang w:eastAsia="ru-RU"/>
        </w:rPr>
      </w:pP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3.1. Обоснование расчетных показателей основывается на: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 применении и соблюдении требований и норм, связанных с градостроительной деятельностью, содержащихся: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нормативных правовых актах Российской федерации;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нормативных правовых актах Московской области;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муниципальных правовых актах Богородского городского округа;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национальных стандартах и сводах правил;</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 соблюдении: </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технических регламентов;</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нормативов градостроительного проектирования Московской области;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 учете показателей и данных, содержащихся: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планах и программах комплексного социально</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экономического развития Богородского городского округа, при реализации которых осуществляется создание объектов местного значения;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официальных статистических отчетах, содержащих сведения о состоянии экономики и социальной сферы, социально</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демографическом составе и плотности населения на территории Богородского городского округа;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утвержденных документах территориального планирования Российской Федерации и Московской области;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утвержденных документах территориального планирования Богородского городского округа и материалах по их обоснованию; </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lastRenderedPageBreak/>
        <w:t>–</w:t>
      </w:r>
      <w:r w:rsidR="00F639AF" w:rsidRPr="007020C2">
        <w:rPr>
          <w:rFonts w:ascii="Times New Roman" w:eastAsia="Times New Roman" w:hAnsi="Times New Roman" w:cs="Times New Roman"/>
          <w:sz w:val="24"/>
          <w:szCs w:val="24"/>
          <w:lang w:eastAsia="ru-RU"/>
        </w:rPr>
        <w:t> в утвержденных проектах планировки и материалах по их обоснованию;</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методических материалах в области градостроительной деятельности;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 корректном применении математических моделей и методов при проведении расчетов показателей местных нормативов.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3.2.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количество единиц объектов;</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площадь объекта, его помещений и (или) земельного участка для размещения объекта;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вместимость (производительность, мощность, количество мест и т.п.) объекта и иные нормируемые показатели, характеризующие объект.</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В последнем случае для оценки площади объекта и земельного участка используются дополнительные удельные показатели,  связывающие единицу ресурсной вместимости с нео</w:t>
      </w:r>
      <w:r w:rsidR="00F26A2F" w:rsidRPr="007020C2">
        <w:rPr>
          <w:rFonts w:ascii="Times New Roman" w:eastAsia="Times New Roman" w:hAnsi="Times New Roman" w:cs="Times New Roman"/>
          <w:sz w:val="24"/>
          <w:szCs w:val="24"/>
          <w:lang w:eastAsia="ru-RU"/>
        </w:rPr>
        <w:t>б</w:t>
      </w:r>
      <w:r w:rsidRPr="007020C2">
        <w:rPr>
          <w:rFonts w:ascii="Times New Roman" w:eastAsia="Times New Roman" w:hAnsi="Times New Roman" w:cs="Times New Roman"/>
          <w:sz w:val="24"/>
          <w:szCs w:val="24"/>
          <w:lang w:eastAsia="ru-RU"/>
        </w:rPr>
        <w:t>ходимой для нее площадью объекта и земельного участка. Аналогичные показатели используются при описании предельных размеров земельных участков в градостроительных регламентах правил землепользования и застройки.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3.3. В соответствии с частью 2 статьи 29.2 Градостроительного кодекса РФ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Региональные нормативы градостроительного проектирования Московской области, утвержденные постановлением Правительства Московской области от 17.08.2015 № 713/30 (далее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региональные нормативы, РНГП МО), в своем составе содержат расчетные показатели, применительно к объектам местного значения городских округов.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3.4. Согласно статьи 29.4 Градостроительного кодекса РФ 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региональными нормативами градостроительного проектирования.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Таким образом, предельные значения показателей РНГП МО задают рамочные ограничения для предельных показателей местных нормативов по отношению к объектам местного значения Богородского городского округа. Следовательно, предельные значения показателей РНГП МО могут быть приняты за основу при подготовке аналогичных показателей местных нормативов.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3.5. Материалы по обоснованию расчетных показателей с привязкой их к пунктам основной части нормативов градостроительного проектирования приведены в таблице 24. Материалы по обоснованию включают ссылки на использованные документы [№ документа в таблице 25], извлечения из этих документов, краткие пояснения, принятые допущения, математические формулы и вычисления при необходимости. Перечень использованных документов, на которые содержатся ссылки в таблице 24, приведен в таблице 25.</w:t>
      </w:r>
    </w:p>
    <w:p w:rsidR="00F26A2F" w:rsidRPr="007020C2" w:rsidRDefault="00F26A2F" w:rsidP="00B70DDE">
      <w:pPr>
        <w:spacing w:after="0"/>
        <w:ind w:firstLine="567"/>
        <w:jc w:val="both"/>
        <w:textAlignment w:val="baseline"/>
        <w:rPr>
          <w:rFonts w:ascii="Times New Roman" w:eastAsia="Times New Roman" w:hAnsi="Times New Roman" w:cs="Times New Roman"/>
          <w:sz w:val="24"/>
          <w:szCs w:val="24"/>
          <w:lang w:eastAsia="ru-RU"/>
        </w:rPr>
      </w:pP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24</w:t>
      </w:r>
    </w:p>
    <w:tbl>
      <w:tblPr>
        <w:tblW w:w="9923" w:type="dxa"/>
        <w:tblInd w:w="150" w:type="dxa"/>
        <w:tblLayout w:type="fixed"/>
        <w:tblCellMar>
          <w:left w:w="0" w:type="dxa"/>
          <w:right w:w="0" w:type="dxa"/>
        </w:tblCellMar>
        <w:tblLook w:val="04A0"/>
      </w:tblPr>
      <w:tblGrid>
        <w:gridCol w:w="1560"/>
        <w:gridCol w:w="8363"/>
      </w:tblGrid>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Номера пунктов и таблиц с расчетными показателями</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Материалы по обоснованию расчетных показателей</w:t>
            </w:r>
          </w:p>
        </w:tc>
      </w:tr>
      <w:tr w:rsidR="007C4C6F" w:rsidRPr="007020C2" w:rsidTr="00F26A2F">
        <w:trPr>
          <w:trHeight w:val="2106"/>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2.1.1</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8A7D89">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Максимально допустимая этажность жилых и нежилых зданий установлена по [1] (см. раздел I, подраздел 1, п.1.10 и таблиц</w:t>
            </w:r>
            <w:r w:rsidR="008A7D89" w:rsidRPr="007020C2">
              <w:rPr>
                <w:rFonts w:ascii="Times New Roman" w:eastAsia="Times New Roman" w:hAnsi="Times New Roman" w:cs="Times New Roman"/>
                <w:lang w:eastAsia="ru-RU"/>
              </w:rPr>
              <w:t>ы№№ 1, 1а</w:t>
            </w:r>
            <w:r w:rsidRPr="007020C2">
              <w:rPr>
                <w:rFonts w:ascii="Times New Roman" w:eastAsia="Times New Roman" w:hAnsi="Times New Roman" w:cs="Times New Roman"/>
                <w:lang w:eastAsia="ru-RU"/>
              </w:rPr>
              <w:t>). Для города Ногинска, отнесенного к историческим поселениям федерального значения, максимальная этажность 9 этажей. Для расположенных в городской устойчивой системе расселения городов с численностью населения от 15 до 50 тыс. человек (города Старая Купавна и Электроугли) максимальная этажность 7 этажей, посёлков городского типа с численностью населения от 3 до 15 тыс. человек (рабочие посёлки им. Воровского и Обухово) максимальная этажность 5 этажей.. В сельских населенных пунктах вне зависимости от численности населения максимальная этажность 3 этажа. </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2.1.4</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2.1.5</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Максимальные коэффициент и плотность застройки жилого квартала</w:t>
            </w:r>
            <w:r w:rsidR="000671E3" w:rsidRPr="007020C2">
              <w:rPr>
                <w:rFonts w:ascii="Times New Roman" w:eastAsia="Times New Roman" w:hAnsi="Times New Roman" w:cs="Times New Roman"/>
                <w:lang w:eastAsia="ru-RU"/>
              </w:rPr>
              <w:t xml:space="preserve"> и жилого района</w:t>
            </w:r>
            <w:r w:rsidRPr="007020C2">
              <w:rPr>
                <w:rFonts w:ascii="Times New Roman" w:eastAsia="Times New Roman" w:hAnsi="Times New Roman" w:cs="Times New Roman"/>
                <w:lang w:eastAsia="ru-RU"/>
              </w:rPr>
              <w:t xml:space="preserve"> многоквартирными и блокированными жилыми домами установлены по [1] (см. раздел I, подраздел 1, п.1.15 и таблица № 2) для населенных пунктов с численностью населения </w:t>
            </w:r>
            <w:r w:rsidR="000671E3" w:rsidRPr="007020C2">
              <w:rPr>
                <w:rFonts w:ascii="Times New Roman" w:eastAsia="Times New Roman" w:hAnsi="Times New Roman" w:cs="Times New Roman"/>
                <w:lang w:eastAsia="ru-RU"/>
              </w:rPr>
              <w:t>свыше 100 тыс. человек</w:t>
            </w:r>
            <w:r w:rsidR="009E7203" w:rsidRPr="007020C2">
              <w:rPr>
                <w:rFonts w:ascii="Times New Roman" w:eastAsia="Times New Roman" w:hAnsi="Times New Roman" w:cs="Times New Roman"/>
                <w:lang w:eastAsia="ru-RU"/>
              </w:rPr>
              <w:t xml:space="preserve"> (город Ногинск), </w:t>
            </w:r>
            <w:r w:rsidRPr="007020C2">
              <w:rPr>
                <w:rFonts w:ascii="Times New Roman" w:eastAsia="Times New Roman" w:hAnsi="Times New Roman" w:cs="Times New Roman"/>
                <w:lang w:eastAsia="ru-RU"/>
              </w:rPr>
              <w:t>от 15 до 50  тыс. человек (</w:t>
            </w:r>
            <w:r w:rsidR="000671E3" w:rsidRPr="007020C2">
              <w:rPr>
                <w:rFonts w:ascii="Times New Roman" w:eastAsia="Times New Roman" w:hAnsi="Times New Roman" w:cs="Times New Roman"/>
                <w:lang w:eastAsia="ru-RU"/>
              </w:rPr>
              <w:t>города Старая Купавна и Электроугли</w:t>
            </w:r>
            <w:r w:rsidRPr="007020C2">
              <w:rPr>
                <w:rFonts w:ascii="Times New Roman" w:eastAsia="Times New Roman" w:hAnsi="Times New Roman" w:cs="Times New Roman"/>
                <w:lang w:eastAsia="ru-RU"/>
              </w:rPr>
              <w:t>), от 3 до 15 тыс. человек (</w:t>
            </w:r>
            <w:r w:rsidR="000671E3" w:rsidRPr="007020C2">
              <w:rPr>
                <w:rFonts w:ascii="Times New Roman" w:eastAsia="Times New Roman" w:hAnsi="Times New Roman" w:cs="Times New Roman"/>
                <w:lang w:eastAsia="ru-RU"/>
              </w:rPr>
              <w:t>рабочие посёлки им. Воровского и Обухово</w:t>
            </w:r>
            <w:r w:rsidRPr="007020C2">
              <w:rPr>
                <w:rFonts w:ascii="Times New Roman" w:eastAsia="Times New Roman" w:hAnsi="Times New Roman" w:cs="Times New Roman"/>
                <w:lang w:eastAsia="ru-RU"/>
              </w:rPr>
              <w:t xml:space="preserve">), </w:t>
            </w:r>
            <w:r w:rsidR="00910B72" w:rsidRPr="007020C2">
              <w:rPr>
                <w:rFonts w:ascii="Times New Roman" w:eastAsia="Times New Roman" w:hAnsi="Times New Roman" w:cs="Times New Roman"/>
                <w:lang w:eastAsia="ru-RU"/>
              </w:rPr>
              <w:t xml:space="preserve">от 3 до 15 тыс. человек, </w:t>
            </w:r>
            <w:r w:rsidRPr="007020C2">
              <w:rPr>
                <w:rFonts w:ascii="Times New Roman" w:eastAsia="Times New Roman" w:hAnsi="Times New Roman" w:cs="Times New Roman"/>
                <w:lang w:eastAsia="ru-RU"/>
              </w:rPr>
              <w:t>от 1 до 3 тыс. человек и менее 1 тыс. человек (сельские населенные пункты),  расположенных в городской устойчивой системе расселения.</w:t>
            </w:r>
          </w:p>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Максимальные коэффициент и плотность застройки жилого квартала многоквартирными и блокированными жилыми домами рассчитаны для условий минимально необходимой в границах квартала площади территорий объектов:</w:t>
            </w:r>
          </w:p>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для хранения индивидуального автомобильного транспорта;</w:t>
            </w:r>
          </w:p>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   инженерного обеспечения;</w:t>
            </w:r>
          </w:p>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   физкультурно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спортивного назначения;</w:t>
            </w:r>
          </w:p>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   торговли и общественного питания;</w:t>
            </w:r>
          </w:p>
          <w:p w:rsidR="00F639AF" w:rsidRPr="007020C2" w:rsidRDefault="00F639AF" w:rsidP="000A29B0">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   коммунального и бытового обслуживания.</w:t>
            </w:r>
          </w:p>
          <w:p w:rsidR="00F639AF" w:rsidRPr="007020C2" w:rsidRDefault="00F639AF" w:rsidP="000671E3">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Эти условия определены в [1] (см. раздел I, подраздел 1, п. 5.5 и строки 1</w:t>
            </w:r>
            <w:r w:rsidR="000671E3"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 таблицы №№ 7, 13, 22, 28, 31, 32).</w:t>
            </w:r>
          </w:p>
        </w:tc>
      </w:tr>
      <w:tr w:rsidR="007C4C6F" w:rsidRPr="007020C2" w:rsidTr="00E137ED">
        <w:trPr>
          <w:trHeight w:val="5364"/>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2.1.6</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137ED">
            <w:pPr>
              <w:spacing w:after="0" w:line="240" w:lineRule="auto"/>
              <w:ind w:left="-9" w:firstLine="284"/>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Рекомендуемые в [1] (см. раздел I, подраздел 1, п.1.16, таблица № 3) размеры земельных участков, предоставляемых для застройки индивидуальными жилыми домами, лежат в интервалах 200 </w:t>
            </w:r>
            <w:r w:rsidR="00F4793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800 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(рабочие посёлки им. Воровского и Обухово), 200 – 600 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(города Старая Купавна и Электроугли), 200 </w:t>
            </w:r>
            <w:r w:rsidR="00F4793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500 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(город Ногинск). Коэффициент застройки земельного участка (см. раздел I, подраздел 1, п.1.17) должен быть не более 40 %  и этажность не более 3 этажей. При этом на земельном участке 600 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площадь застройки может достигать 600×(40% / 100%) =240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а поэтажная площадь дома на одну семью 240× 3 =720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что позволяет удовлетворить запросы большинства семей. Рост комфортности проживания на земельном участке площадью превышающей 600 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обеспечивается сокращением доли застройки до 10% (в пользу увеличением рекреационной составляющей) на площади участка, соответствующей превышению. Участкам до 600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соответствует наибольшая плотность застройки 12000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/га, которая существенно выше плотности 9600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/га, установленной для застройки квартала 3 этажными многоквартирными домами в городе Ногинске. С увеличением площади земельного участка, (например, до 800; 1000; 1200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последовательно снижается максимальный коэффициент застройки (32,5; 28,0; 25,0%) и максимальная плотность застройки (9750; 8400; 7500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/га), обеспечивая умеренный рост максимальной поэтажной площади индивидуального дома (780; 840; 900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w:t>
            </w:r>
          </w:p>
        </w:tc>
      </w:tr>
      <w:tr w:rsidR="00E137ED" w:rsidRPr="007020C2" w:rsidTr="006B3DE9">
        <w:trPr>
          <w:trHeight w:val="683"/>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rsidR="00E137ED" w:rsidRPr="007020C2" w:rsidRDefault="00E137ED"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2.1.7</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tcPr>
          <w:p w:rsidR="00E137ED" w:rsidRPr="007020C2" w:rsidRDefault="00E137ED" w:rsidP="006B3DE9">
            <w:pPr>
              <w:spacing w:after="0"/>
              <w:rPr>
                <w:rFonts w:ascii="Times New Roman" w:eastAsia="Times New Roman" w:hAnsi="Times New Roman" w:cs="Times New Roman"/>
                <w:lang w:eastAsia="ru-RU"/>
              </w:rPr>
            </w:pPr>
            <w:r w:rsidRPr="007020C2">
              <w:rPr>
                <w:rFonts w:ascii="Times New Roman" w:hAnsi="Times New Roman" w:cs="Times New Roman"/>
                <w:sz w:val="24"/>
                <w:szCs w:val="24"/>
              </w:rPr>
              <w:t xml:space="preserve">Норма нежилых помещений в жилых домах установлена </w:t>
            </w:r>
            <w:r w:rsidRPr="007020C2">
              <w:rPr>
                <w:rFonts w:ascii="Times New Roman" w:hAnsi="Times New Roman" w:cs="Times New Roman"/>
                <w:bCs/>
                <w:sz w:val="24"/>
                <w:szCs w:val="24"/>
              </w:rPr>
              <w:t xml:space="preserve">по </w:t>
            </w:r>
            <w:r w:rsidR="006B3DE9" w:rsidRPr="007020C2">
              <w:rPr>
                <w:rFonts w:ascii="Times New Roman" w:eastAsia="Times New Roman" w:hAnsi="Times New Roman" w:cs="Times New Roman"/>
                <w:lang w:eastAsia="ru-RU"/>
              </w:rPr>
              <w:t xml:space="preserve">[1] </w:t>
            </w:r>
            <w:r w:rsidRPr="007020C2">
              <w:rPr>
                <w:rFonts w:ascii="Times New Roman" w:hAnsi="Times New Roman" w:cs="Times New Roman"/>
                <w:sz w:val="24"/>
                <w:szCs w:val="24"/>
              </w:rPr>
              <w:t>(см. раздел I, подраздел 1, п.1.7).</w:t>
            </w:r>
          </w:p>
        </w:tc>
      </w:tr>
      <w:tr w:rsidR="000A29B0" w:rsidRPr="007020C2" w:rsidTr="006B3DE9">
        <w:trPr>
          <w:trHeight w:val="2106"/>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0A29B0" w:rsidRPr="007020C2" w:rsidRDefault="000A29B0"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2.1.11</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tbl>
            <w:tblPr>
              <w:tblStyle w:val="a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55"/>
              <w:gridCol w:w="1448"/>
              <w:gridCol w:w="532"/>
              <w:gridCol w:w="225"/>
              <w:gridCol w:w="944"/>
              <w:gridCol w:w="526"/>
              <w:gridCol w:w="510"/>
              <w:gridCol w:w="1185"/>
              <w:gridCol w:w="562"/>
            </w:tblGrid>
            <w:tr w:rsidR="000A29B0" w:rsidRPr="007020C2" w:rsidTr="007E35EB">
              <w:trPr>
                <w:trHeight w:val="221"/>
              </w:trPr>
              <w:tc>
                <w:tcPr>
                  <w:tcW w:w="6487" w:type="dxa"/>
                  <w:gridSpan w:val="9"/>
                </w:tcPr>
                <w:p w:rsidR="000A29B0" w:rsidRPr="007020C2" w:rsidRDefault="000A29B0" w:rsidP="007E35EB">
                  <w:pPr>
                    <w:spacing w:line="240" w:lineRule="auto"/>
                    <w:rPr>
                      <w:szCs w:val="24"/>
                    </w:rPr>
                  </w:pPr>
                  <w:r w:rsidRPr="007020C2">
                    <w:rPr>
                      <w:szCs w:val="24"/>
                      <w:lang w:val="en-US"/>
                    </w:rPr>
                    <w:t>Y</w:t>
                  </w:r>
                </w:p>
              </w:tc>
            </w:tr>
            <w:tr w:rsidR="000A29B0" w:rsidRPr="007020C2" w:rsidTr="007E35EB">
              <w:trPr>
                <w:trHeight w:val="510"/>
              </w:trPr>
              <w:tc>
                <w:tcPr>
                  <w:tcW w:w="555" w:type="dxa"/>
                </w:tcPr>
                <w:p w:rsidR="000A29B0" w:rsidRPr="007020C2" w:rsidRDefault="000A29B0" w:rsidP="007E35EB">
                  <w:pPr>
                    <w:spacing w:line="240" w:lineRule="auto"/>
                    <w:rPr>
                      <w:szCs w:val="24"/>
                    </w:rPr>
                  </w:pPr>
                </w:p>
              </w:tc>
              <w:tc>
                <w:tcPr>
                  <w:tcW w:w="1448" w:type="dxa"/>
                  <w:shd w:val="clear" w:color="auto" w:fill="D9D9D9" w:themeFill="background1" w:themeFillShade="D9"/>
                </w:tcPr>
                <w:p w:rsidR="000A29B0" w:rsidRPr="007020C2" w:rsidRDefault="000A29B0" w:rsidP="007E35EB">
                  <w:pPr>
                    <w:spacing w:line="240" w:lineRule="auto"/>
                    <w:ind w:left="-25"/>
                    <w:rPr>
                      <w:szCs w:val="24"/>
                    </w:rPr>
                  </w:pPr>
                  <w:r w:rsidRPr="007020C2">
                    <w:rPr>
                      <w:szCs w:val="24"/>
                      <w:lang w:val="en-US"/>
                    </w:rPr>
                    <w:t>Li</w:t>
                  </w:r>
                </w:p>
                <w:p w:rsidR="000A29B0" w:rsidRPr="007020C2" w:rsidRDefault="000A29B0" w:rsidP="007E35EB">
                  <w:pPr>
                    <w:spacing w:line="240" w:lineRule="auto"/>
                    <w:ind w:left="-25"/>
                    <w:rPr>
                      <w:szCs w:val="24"/>
                    </w:rPr>
                  </w:pPr>
                </w:p>
              </w:tc>
              <w:tc>
                <w:tcPr>
                  <w:tcW w:w="532" w:type="dxa"/>
                  <w:vAlign w:val="center"/>
                </w:tcPr>
                <w:p w:rsidR="000A29B0" w:rsidRPr="007020C2" w:rsidRDefault="000A29B0" w:rsidP="007E35EB">
                  <w:pPr>
                    <w:spacing w:line="240" w:lineRule="auto"/>
                    <w:ind w:left="-70" w:hanging="38"/>
                    <w:rPr>
                      <w:szCs w:val="24"/>
                    </w:rPr>
                  </w:pPr>
                  <w:r w:rsidRPr="007020C2">
                    <w:rPr>
                      <w:szCs w:val="24"/>
                      <w:lang w:val="en-US"/>
                    </w:rPr>
                    <w:t>h</w:t>
                  </w:r>
                </w:p>
              </w:tc>
              <w:tc>
                <w:tcPr>
                  <w:tcW w:w="1695" w:type="dxa"/>
                  <w:gridSpan w:val="3"/>
                  <w:shd w:val="clear" w:color="auto" w:fill="D9D9D9" w:themeFill="background1" w:themeFillShade="D9"/>
                </w:tcPr>
                <w:p w:rsidR="000A29B0" w:rsidRPr="007020C2" w:rsidRDefault="000A29B0" w:rsidP="007E35EB">
                  <w:pPr>
                    <w:spacing w:line="240" w:lineRule="auto"/>
                    <w:rPr>
                      <w:szCs w:val="24"/>
                    </w:rPr>
                  </w:pPr>
                </w:p>
              </w:tc>
              <w:tc>
                <w:tcPr>
                  <w:tcW w:w="510" w:type="dxa"/>
                </w:tcPr>
                <w:p w:rsidR="000A29B0" w:rsidRPr="007020C2" w:rsidRDefault="000A29B0" w:rsidP="007E35EB">
                  <w:pPr>
                    <w:spacing w:line="240" w:lineRule="auto"/>
                    <w:rPr>
                      <w:szCs w:val="24"/>
                    </w:rPr>
                  </w:pPr>
                </w:p>
              </w:tc>
              <w:tc>
                <w:tcPr>
                  <w:tcW w:w="1185" w:type="dxa"/>
                  <w:shd w:val="clear" w:color="auto" w:fill="D9D9D9" w:themeFill="background1" w:themeFillShade="D9"/>
                </w:tcPr>
                <w:p w:rsidR="000A29B0" w:rsidRPr="007020C2" w:rsidRDefault="000A29B0" w:rsidP="007E35EB">
                  <w:pPr>
                    <w:spacing w:line="240" w:lineRule="auto"/>
                    <w:rPr>
                      <w:szCs w:val="24"/>
                    </w:rPr>
                  </w:pPr>
                </w:p>
              </w:tc>
              <w:tc>
                <w:tcPr>
                  <w:tcW w:w="562" w:type="dxa"/>
                </w:tcPr>
                <w:p w:rsidR="000A29B0" w:rsidRPr="007020C2" w:rsidRDefault="000A29B0" w:rsidP="007E35EB">
                  <w:pPr>
                    <w:spacing w:line="240" w:lineRule="auto"/>
                    <w:rPr>
                      <w:szCs w:val="24"/>
                    </w:rPr>
                  </w:pPr>
                </w:p>
              </w:tc>
            </w:tr>
            <w:tr w:rsidR="000A29B0" w:rsidRPr="007020C2" w:rsidTr="007E35EB">
              <w:trPr>
                <w:trHeight w:val="1170"/>
              </w:trPr>
              <w:tc>
                <w:tcPr>
                  <w:tcW w:w="6487" w:type="dxa"/>
                  <w:gridSpan w:val="9"/>
                </w:tcPr>
                <w:p w:rsidR="000A29B0" w:rsidRPr="007020C2" w:rsidRDefault="000A29B0" w:rsidP="007E35EB">
                  <w:pPr>
                    <w:spacing w:line="240" w:lineRule="auto"/>
                    <w:rPr>
                      <w:bCs/>
                      <w:szCs w:val="24"/>
                    </w:rPr>
                  </w:pPr>
                </w:p>
                <w:p w:rsidR="000A29B0" w:rsidRPr="007020C2" w:rsidRDefault="000A29B0" w:rsidP="007E35EB">
                  <w:pPr>
                    <w:spacing w:line="240" w:lineRule="auto"/>
                    <w:rPr>
                      <w:bCs/>
                      <w:szCs w:val="24"/>
                    </w:rPr>
                  </w:pPr>
                </w:p>
                <w:p w:rsidR="000A29B0" w:rsidRPr="007020C2" w:rsidRDefault="000A29B0" w:rsidP="007E35EB">
                  <w:pPr>
                    <w:spacing w:line="240" w:lineRule="auto"/>
                    <w:ind w:firstLine="25"/>
                    <w:rPr>
                      <w:bCs/>
                      <w:szCs w:val="24"/>
                    </w:rPr>
                  </w:pPr>
                  <w:r w:rsidRPr="007020C2">
                    <w:rPr>
                      <w:bCs/>
                      <w:szCs w:val="24"/>
                    </w:rPr>
                    <w:t>Х</w:t>
                  </w:r>
                </w:p>
                <w:p w:rsidR="000A29B0" w:rsidRPr="007020C2" w:rsidRDefault="000A29B0" w:rsidP="007E35EB">
                  <w:pPr>
                    <w:spacing w:line="240" w:lineRule="auto"/>
                    <w:rPr>
                      <w:szCs w:val="24"/>
                    </w:rPr>
                  </w:pPr>
                </w:p>
              </w:tc>
            </w:tr>
            <w:tr w:rsidR="000A29B0" w:rsidRPr="007020C2" w:rsidTr="007E35EB">
              <w:trPr>
                <w:trHeight w:val="763"/>
              </w:trPr>
              <w:tc>
                <w:tcPr>
                  <w:tcW w:w="555" w:type="dxa"/>
                </w:tcPr>
                <w:p w:rsidR="000A29B0" w:rsidRPr="007020C2" w:rsidRDefault="000A29B0" w:rsidP="007E35EB">
                  <w:pPr>
                    <w:spacing w:line="240" w:lineRule="auto"/>
                    <w:rPr>
                      <w:szCs w:val="24"/>
                    </w:rPr>
                  </w:pPr>
                </w:p>
              </w:tc>
              <w:tc>
                <w:tcPr>
                  <w:tcW w:w="2205" w:type="dxa"/>
                  <w:gridSpan w:val="3"/>
                  <w:shd w:val="clear" w:color="auto" w:fill="D9D9D9" w:themeFill="background1" w:themeFillShade="D9"/>
                </w:tcPr>
                <w:p w:rsidR="000A29B0" w:rsidRPr="007020C2" w:rsidRDefault="000A29B0" w:rsidP="007E35EB">
                  <w:pPr>
                    <w:spacing w:line="240" w:lineRule="auto"/>
                    <w:rPr>
                      <w:szCs w:val="24"/>
                    </w:rPr>
                  </w:pPr>
                </w:p>
              </w:tc>
              <w:tc>
                <w:tcPr>
                  <w:tcW w:w="944" w:type="dxa"/>
                </w:tcPr>
                <w:p w:rsidR="000A29B0" w:rsidRPr="007020C2" w:rsidRDefault="000A29B0" w:rsidP="007E35EB">
                  <w:pPr>
                    <w:spacing w:line="240" w:lineRule="auto"/>
                    <w:rPr>
                      <w:szCs w:val="24"/>
                    </w:rPr>
                  </w:pPr>
                </w:p>
              </w:tc>
              <w:tc>
                <w:tcPr>
                  <w:tcW w:w="2221" w:type="dxa"/>
                  <w:gridSpan w:val="3"/>
                  <w:shd w:val="clear" w:color="auto" w:fill="D9D9D9" w:themeFill="background1" w:themeFillShade="D9"/>
                </w:tcPr>
                <w:p w:rsidR="000A29B0" w:rsidRPr="007020C2" w:rsidRDefault="000A29B0" w:rsidP="007E35EB">
                  <w:pPr>
                    <w:spacing w:line="240" w:lineRule="auto"/>
                    <w:rPr>
                      <w:szCs w:val="24"/>
                    </w:rPr>
                  </w:pPr>
                </w:p>
              </w:tc>
              <w:tc>
                <w:tcPr>
                  <w:tcW w:w="562" w:type="dxa"/>
                </w:tcPr>
                <w:p w:rsidR="000A29B0" w:rsidRPr="007020C2" w:rsidRDefault="000A29B0" w:rsidP="007E35EB">
                  <w:pPr>
                    <w:spacing w:line="240" w:lineRule="auto"/>
                    <w:rPr>
                      <w:szCs w:val="24"/>
                    </w:rPr>
                  </w:pPr>
                </w:p>
              </w:tc>
            </w:tr>
            <w:tr w:rsidR="000A29B0" w:rsidRPr="007020C2" w:rsidTr="007E35EB">
              <w:trPr>
                <w:trHeight w:val="264"/>
              </w:trPr>
              <w:tc>
                <w:tcPr>
                  <w:tcW w:w="6487" w:type="dxa"/>
                  <w:gridSpan w:val="9"/>
                </w:tcPr>
                <w:p w:rsidR="000A29B0" w:rsidRPr="007020C2" w:rsidRDefault="000A29B0" w:rsidP="007E35EB">
                  <w:pPr>
                    <w:spacing w:line="240" w:lineRule="auto"/>
                    <w:rPr>
                      <w:szCs w:val="24"/>
                    </w:rPr>
                  </w:pPr>
                </w:p>
              </w:tc>
            </w:tr>
          </w:tbl>
          <w:p w:rsidR="000A29B0" w:rsidRPr="007020C2" w:rsidRDefault="000A29B0" w:rsidP="000A29B0">
            <w:pPr>
              <w:spacing w:line="240" w:lineRule="auto"/>
              <w:ind w:left="2968"/>
              <w:rPr>
                <w:rFonts w:ascii="Times New Roman" w:hAnsi="Times New Roman" w:cs="Times New Roman"/>
                <w:szCs w:val="24"/>
              </w:rPr>
            </w:pPr>
            <w:r w:rsidRPr="007020C2">
              <w:rPr>
                <w:rFonts w:ascii="Times New Roman" w:hAnsi="Times New Roman" w:cs="Times New Roman"/>
                <w:szCs w:val="24"/>
              </w:rPr>
              <w:t>Рис.1</w:t>
            </w:r>
          </w:p>
          <w:p w:rsidR="000A29B0" w:rsidRPr="007020C2" w:rsidRDefault="000A29B0" w:rsidP="00E0767B">
            <w:pPr>
              <w:spacing w:after="100" w:line="240" w:lineRule="auto"/>
              <w:ind w:left="34" w:firstLine="238"/>
              <w:rPr>
                <w:rFonts w:ascii="Times New Roman" w:hAnsi="Times New Roman" w:cs="Times New Roman"/>
                <w:szCs w:val="24"/>
              </w:rPr>
            </w:pPr>
            <w:r w:rsidRPr="007020C2">
              <w:rPr>
                <w:rFonts w:ascii="Times New Roman" w:hAnsi="Times New Roman" w:cs="Times New Roman"/>
                <w:szCs w:val="24"/>
              </w:rPr>
              <w:t>В случае строчной компоновки зданий в прямоугольном квартале Х</w:t>
            </w:r>
            <w:r w:rsidRPr="007020C2">
              <w:rPr>
                <w:rFonts w:ascii="Times New Roman" w:hAnsi="Times New Roman" w:cs="Times New Roman"/>
                <w:bCs/>
                <w:szCs w:val="24"/>
              </w:rPr>
              <w:t>×</w:t>
            </w:r>
            <w:r w:rsidRPr="007020C2">
              <w:rPr>
                <w:rFonts w:ascii="Times New Roman" w:hAnsi="Times New Roman" w:cs="Times New Roman"/>
                <w:bCs/>
                <w:szCs w:val="24"/>
                <w:lang w:val="en-US"/>
              </w:rPr>
              <w:t>Y</w:t>
            </w:r>
            <w:r w:rsidRPr="007020C2">
              <w:rPr>
                <w:rFonts w:ascii="Times New Roman" w:hAnsi="Times New Roman" w:cs="Times New Roman"/>
                <w:szCs w:val="24"/>
              </w:rPr>
              <w:t xml:space="preserve">, изображенной на рисунке 1 (количество строк </w:t>
            </w:r>
            <w:r w:rsidRPr="007020C2">
              <w:rPr>
                <w:rFonts w:ascii="Times New Roman" w:hAnsi="Times New Roman" w:cs="Times New Roman"/>
                <w:bCs/>
                <w:szCs w:val="24"/>
                <w:lang w:val="en-US"/>
              </w:rPr>
              <w:t>m</w:t>
            </w:r>
            <w:r w:rsidRPr="007020C2">
              <w:rPr>
                <w:rFonts w:ascii="Times New Roman" w:hAnsi="Times New Roman" w:cs="Times New Roman"/>
                <w:bCs/>
                <w:szCs w:val="24"/>
              </w:rPr>
              <w:t>=2)</w:t>
            </w:r>
            <w:r w:rsidRPr="007020C2">
              <w:rPr>
                <w:rFonts w:ascii="Times New Roman" w:hAnsi="Times New Roman" w:cs="Times New Roman"/>
                <w:szCs w:val="24"/>
              </w:rPr>
              <w:t xml:space="preserve">, когда все здания с длинами </w:t>
            </w:r>
            <w:r w:rsidRPr="007020C2">
              <w:rPr>
                <w:rFonts w:ascii="Times New Roman" w:hAnsi="Times New Roman" w:cs="Times New Roman"/>
                <w:szCs w:val="24"/>
                <w:lang w:val="en-US"/>
              </w:rPr>
              <w:t>Li</w:t>
            </w:r>
            <w:r w:rsidRPr="007020C2">
              <w:rPr>
                <w:rFonts w:ascii="Times New Roman" w:hAnsi="Times New Roman" w:cs="Times New Roman"/>
                <w:szCs w:val="24"/>
              </w:rPr>
              <w:t xml:space="preserve">одинаковой шириной </w:t>
            </w:r>
            <w:r w:rsidRPr="007020C2">
              <w:rPr>
                <w:rFonts w:ascii="Times New Roman" w:hAnsi="Times New Roman" w:cs="Times New Roman"/>
                <w:szCs w:val="24"/>
                <w:lang w:val="en-US"/>
              </w:rPr>
              <w:t>h</w:t>
            </w:r>
            <w:r w:rsidRPr="007020C2">
              <w:rPr>
                <w:rFonts w:ascii="Times New Roman" w:hAnsi="Times New Roman" w:cs="Times New Roman"/>
                <w:szCs w:val="24"/>
              </w:rPr>
              <w:t xml:space="preserve"> расположены вдоль стороны (торцами к стороне Х), площадь застройки </w:t>
            </w:r>
            <w:r w:rsidRPr="007020C2">
              <w:rPr>
                <w:rFonts w:ascii="Times New Roman" w:hAnsi="Times New Roman" w:cs="Times New Roman"/>
                <w:bCs/>
                <w:szCs w:val="24"/>
              </w:rPr>
              <w:t>Sз</w:t>
            </w:r>
            <w:r w:rsidRPr="007020C2">
              <w:rPr>
                <w:rFonts w:ascii="Times New Roman" w:hAnsi="Times New Roman" w:cs="Times New Roman"/>
                <w:szCs w:val="24"/>
              </w:rPr>
              <w:t xml:space="preserve"> определяется по формуле:</w:t>
            </w:r>
          </w:p>
          <w:p w:rsidR="000A29B0" w:rsidRPr="007020C2" w:rsidRDefault="000A29B0" w:rsidP="00E0767B">
            <w:pPr>
              <w:spacing w:after="100" w:line="240" w:lineRule="auto"/>
              <w:ind w:left="34" w:firstLine="238"/>
              <w:rPr>
                <w:rFonts w:ascii="Times New Roman" w:hAnsi="Times New Roman" w:cs="Times New Roman"/>
                <w:bCs/>
                <w:szCs w:val="24"/>
              </w:rPr>
            </w:pPr>
            <w:r w:rsidRPr="007020C2">
              <w:rPr>
                <w:rFonts w:ascii="Times New Roman" w:hAnsi="Times New Roman" w:cs="Times New Roman"/>
                <w:bCs/>
                <w:szCs w:val="24"/>
                <w:lang w:val="en-US"/>
              </w:rPr>
              <w:t>S</w:t>
            </w:r>
            <w:r w:rsidRPr="007020C2">
              <w:rPr>
                <w:rFonts w:ascii="Times New Roman" w:hAnsi="Times New Roman" w:cs="Times New Roman"/>
                <w:bCs/>
                <w:szCs w:val="24"/>
              </w:rPr>
              <w:t xml:space="preserve">з = </w:t>
            </w:r>
            <w:r w:rsidRPr="007020C2">
              <w:rPr>
                <w:rFonts w:ascii="Times New Roman" w:hAnsi="Times New Roman" w:cs="Times New Roman"/>
                <w:bCs/>
                <w:szCs w:val="24"/>
                <w:lang w:val="en-US"/>
              </w:rPr>
              <w:t>h</w:t>
            </w:r>
            <w:r w:rsidRPr="007020C2">
              <w:rPr>
                <w:rFonts w:ascii="Times New Roman" w:hAnsi="Times New Roman" w:cs="Times New Roman"/>
                <w:bCs/>
                <w:szCs w:val="24"/>
              </w:rPr>
              <w:t xml:space="preserve"> × Σ </w:t>
            </w:r>
            <w:r w:rsidRPr="007020C2">
              <w:rPr>
                <w:rFonts w:ascii="Times New Roman" w:hAnsi="Times New Roman" w:cs="Times New Roman"/>
                <w:szCs w:val="24"/>
                <w:lang w:val="en-US"/>
              </w:rPr>
              <w:t>Li</w:t>
            </w:r>
            <w:r w:rsidRPr="007020C2">
              <w:rPr>
                <w:rFonts w:ascii="Times New Roman" w:hAnsi="Times New Roman" w:cs="Times New Roman"/>
                <w:bCs/>
                <w:szCs w:val="24"/>
              </w:rPr>
              <w:t xml:space="preserve"> = </w:t>
            </w:r>
            <w:r w:rsidRPr="007020C2">
              <w:rPr>
                <w:rFonts w:ascii="Times New Roman" w:hAnsi="Times New Roman" w:cs="Times New Roman"/>
                <w:bCs/>
                <w:szCs w:val="24"/>
                <w:lang w:val="en-US"/>
              </w:rPr>
              <w:t>h</w:t>
            </w:r>
            <w:r w:rsidRPr="007020C2">
              <w:rPr>
                <w:rFonts w:ascii="Times New Roman" w:hAnsi="Times New Roman" w:cs="Times New Roman"/>
                <w:bCs/>
                <w:szCs w:val="24"/>
              </w:rPr>
              <w:t xml:space="preserve"> × </w:t>
            </w:r>
            <w:r w:rsidRPr="007020C2">
              <w:rPr>
                <w:rFonts w:ascii="Times New Roman" w:hAnsi="Times New Roman" w:cs="Times New Roman"/>
                <w:bCs/>
                <w:szCs w:val="24"/>
                <w:lang w:val="en-US"/>
              </w:rPr>
              <w:t>m</w:t>
            </w:r>
            <w:r w:rsidRPr="007020C2">
              <w:rPr>
                <w:rFonts w:ascii="Times New Roman" w:hAnsi="Times New Roman" w:cs="Times New Roman"/>
                <w:bCs/>
                <w:szCs w:val="24"/>
              </w:rPr>
              <w:t xml:space="preserve"> × </w:t>
            </w:r>
            <w:r w:rsidRPr="007020C2">
              <w:rPr>
                <w:rFonts w:ascii="Times New Roman" w:hAnsi="Times New Roman" w:cs="Times New Roman"/>
                <w:bCs/>
                <w:szCs w:val="24"/>
                <w:lang w:val="en-US"/>
              </w:rPr>
              <w:t>Y</w:t>
            </w:r>
            <w:r w:rsidRPr="007020C2">
              <w:rPr>
                <w:rFonts w:ascii="Times New Roman" w:hAnsi="Times New Roman" w:cs="Times New Roman"/>
                <w:bCs/>
                <w:szCs w:val="24"/>
              </w:rPr>
              <w:t xml:space="preserve">× Кп, </w:t>
            </w:r>
          </w:p>
          <w:p w:rsidR="000A29B0" w:rsidRPr="007020C2" w:rsidRDefault="000A29B0" w:rsidP="00E0767B">
            <w:pPr>
              <w:spacing w:after="100" w:line="240" w:lineRule="auto"/>
              <w:ind w:left="34" w:firstLine="238"/>
              <w:rPr>
                <w:rFonts w:ascii="Times New Roman" w:hAnsi="Times New Roman" w:cs="Times New Roman"/>
                <w:bCs/>
                <w:szCs w:val="24"/>
              </w:rPr>
            </w:pPr>
            <w:r w:rsidRPr="007020C2">
              <w:rPr>
                <w:rFonts w:ascii="Times New Roman" w:hAnsi="Times New Roman" w:cs="Times New Roman"/>
                <w:bCs/>
                <w:szCs w:val="24"/>
              </w:rPr>
              <w:t xml:space="preserve">где коэффициент непрерывности строчной застройки Кп рассчитывается  по формуле Кп = Σ </w:t>
            </w:r>
            <w:r w:rsidRPr="007020C2">
              <w:rPr>
                <w:rFonts w:ascii="Times New Roman" w:hAnsi="Times New Roman" w:cs="Times New Roman"/>
                <w:szCs w:val="24"/>
                <w:lang w:val="en-US"/>
              </w:rPr>
              <w:t>Li</w:t>
            </w:r>
            <w:r w:rsidRPr="007020C2">
              <w:rPr>
                <w:rFonts w:ascii="Times New Roman" w:hAnsi="Times New Roman" w:cs="Times New Roman"/>
                <w:bCs/>
                <w:szCs w:val="24"/>
              </w:rPr>
              <w:t>/ (</w:t>
            </w:r>
            <w:r w:rsidRPr="007020C2">
              <w:rPr>
                <w:rFonts w:ascii="Times New Roman" w:hAnsi="Times New Roman" w:cs="Times New Roman"/>
                <w:bCs/>
                <w:szCs w:val="24"/>
                <w:lang w:val="en-US"/>
              </w:rPr>
              <w:t>m</w:t>
            </w:r>
            <w:r w:rsidRPr="007020C2">
              <w:rPr>
                <w:rFonts w:ascii="Times New Roman" w:hAnsi="Times New Roman" w:cs="Times New Roman"/>
                <w:bCs/>
                <w:szCs w:val="24"/>
              </w:rPr>
              <w:t xml:space="preserve"> × </w:t>
            </w:r>
            <w:r w:rsidRPr="007020C2">
              <w:rPr>
                <w:rFonts w:ascii="Times New Roman" w:hAnsi="Times New Roman" w:cs="Times New Roman"/>
                <w:bCs/>
                <w:szCs w:val="24"/>
                <w:lang w:val="en-US"/>
              </w:rPr>
              <w:t>Y</w:t>
            </w:r>
            <w:r w:rsidRPr="007020C2">
              <w:rPr>
                <w:rFonts w:ascii="Times New Roman" w:hAnsi="Times New Roman" w:cs="Times New Roman"/>
                <w:bCs/>
                <w:szCs w:val="24"/>
              </w:rPr>
              <w:t>).</w:t>
            </w:r>
          </w:p>
          <w:p w:rsidR="000A29B0" w:rsidRPr="007020C2" w:rsidRDefault="000A29B0" w:rsidP="00E0767B">
            <w:pPr>
              <w:spacing w:after="100" w:line="240" w:lineRule="auto"/>
              <w:ind w:left="34" w:firstLine="238"/>
              <w:rPr>
                <w:rFonts w:ascii="Times New Roman" w:hAnsi="Times New Roman" w:cs="Times New Roman"/>
                <w:szCs w:val="24"/>
              </w:rPr>
            </w:pPr>
            <w:r w:rsidRPr="007020C2">
              <w:rPr>
                <w:rFonts w:ascii="Times New Roman" w:hAnsi="Times New Roman" w:cs="Times New Roman"/>
                <w:szCs w:val="24"/>
              </w:rPr>
              <w:t xml:space="preserve">Вместе с тем площадь застройки </w:t>
            </w:r>
            <w:r w:rsidRPr="007020C2">
              <w:rPr>
                <w:rFonts w:ascii="Times New Roman" w:hAnsi="Times New Roman" w:cs="Times New Roman"/>
                <w:bCs/>
                <w:szCs w:val="24"/>
              </w:rPr>
              <w:t>Sз зависит от площади квартала S и коэффициента застройки Кз</w:t>
            </w:r>
            <w:r w:rsidRPr="007020C2">
              <w:rPr>
                <w:rFonts w:ascii="Times New Roman" w:hAnsi="Times New Roman" w:cs="Times New Roman"/>
                <w:bCs/>
                <w:szCs w:val="24"/>
                <w:vertAlign w:val="superscript"/>
                <w:lang w:val="en-US"/>
              </w:rPr>
              <w:t>max</w:t>
            </w:r>
            <w:r w:rsidRPr="007020C2">
              <w:rPr>
                <w:rFonts w:ascii="Times New Roman" w:hAnsi="Times New Roman" w:cs="Times New Roman"/>
                <w:szCs w:val="24"/>
              </w:rPr>
              <w:t>:</w:t>
            </w:r>
          </w:p>
          <w:p w:rsidR="000A29B0" w:rsidRPr="007020C2" w:rsidRDefault="000A29B0" w:rsidP="00E0767B">
            <w:pPr>
              <w:spacing w:after="100" w:line="240" w:lineRule="auto"/>
              <w:ind w:left="34" w:firstLine="238"/>
              <w:rPr>
                <w:rFonts w:ascii="Times New Roman" w:hAnsi="Times New Roman" w:cs="Times New Roman"/>
                <w:szCs w:val="24"/>
              </w:rPr>
            </w:pPr>
            <w:r w:rsidRPr="007020C2">
              <w:rPr>
                <w:rFonts w:ascii="Times New Roman" w:hAnsi="Times New Roman" w:cs="Times New Roman"/>
                <w:bCs/>
                <w:szCs w:val="24"/>
              </w:rPr>
              <w:t>Sз = (Кз</w:t>
            </w:r>
            <w:r w:rsidRPr="007020C2">
              <w:rPr>
                <w:rFonts w:ascii="Times New Roman" w:hAnsi="Times New Roman" w:cs="Times New Roman"/>
                <w:bCs/>
                <w:szCs w:val="24"/>
                <w:vertAlign w:val="superscript"/>
                <w:lang w:val="en-US"/>
              </w:rPr>
              <w:t>max</w:t>
            </w:r>
            <w:r w:rsidRPr="007020C2">
              <w:rPr>
                <w:rFonts w:ascii="Times New Roman" w:hAnsi="Times New Roman" w:cs="Times New Roman"/>
                <w:szCs w:val="24"/>
              </w:rPr>
              <w:t>/100%)</w:t>
            </w:r>
            <w:r w:rsidRPr="007020C2">
              <w:rPr>
                <w:rFonts w:ascii="Times New Roman" w:hAnsi="Times New Roman" w:cs="Times New Roman"/>
                <w:bCs/>
                <w:szCs w:val="24"/>
              </w:rPr>
              <w:t xml:space="preserve"> × Sз = (Кз</w:t>
            </w:r>
            <w:r w:rsidRPr="007020C2">
              <w:rPr>
                <w:rFonts w:ascii="Times New Roman" w:hAnsi="Times New Roman" w:cs="Times New Roman"/>
                <w:bCs/>
                <w:szCs w:val="24"/>
                <w:vertAlign w:val="superscript"/>
                <w:lang w:val="en-US"/>
              </w:rPr>
              <w:t>max</w:t>
            </w:r>
            <w:r w:rsidRPr="007020C2">
              <w:rPr>
                <w:rFonts w:ascii="Times New Roman" w:hAnsi="Times New Roman" w:cs="Times New Roman"/>
                <w:szCs w:val="24"/>
              </w:rPr>
              <w:t xml:space="preserve"> /100%)</w:t>
            </w:r>
            <w:r w:rsidRPr="007020C2">
              <w:rPr>
                <w:rFonts w:ascii="Times New Roman" w:hAnsi="Times New Roman" w:cs="Times New Roman"/>
                <w:bCs/>
                <w:szCs w:val="24"/>
              </w:rPr>
              <w:t xml:space="preserve"> × (X×Y).</w:t>
            </w:r>
          </w:p>
          <w:p w:rsidR="000A29B0" w:rsidRPr="007020C2" w:rsidRDefault="000A29B0" w:rsidP="00E0767B">
            <w:pPr>
              <w:spacing w:after="100" w:line="240" w:lineRule="auto"/>
              <w:ind w:left="34" w:firstLine="238"/>
              <w:rPr>
                <w:rFonts w:ascii="Times New Roman" w:hAnsi="Times New Roman" w:cs="Times New Roman"/>
                <w:bCs/>
                <w:szCs w:val="24"/>
              </w:rPr>
            </w:pPr>
            <w:r w:rsidRPr="007020C2">
              <w:rPr>
                <w:rFonts w:ascii="Times New Roman" w:hAnsi="Times New Roman" w:cs="Times New Roman"/>
                <w:bCs/>
                <w:szCs w:val="24"/>
              </w:rPr>
              <w:t xml:space="preserve">Из равенства обоих выражений для </w:t>
            </w:r>
            <w:r w:rsidRPr="007020C2">
              <w:rPr>
                <w:rFonts w:ascii="Times New Roman" w:hAnsi="Times New Roman" w:cs="Times New Roman"/>
                <w:bCs/>
                <w:szCs w:val="24"/>
                <w:lang w:val="en-US"/>
              </w:rPr>
              <w:t>S</w:t>
            </w:r>
            <w:r w:rsidRPr="007020C2">
              <w:rPr>
                <w:rFonts w:ascii="Times New Roman" w:hAnsi="Times New Roman" w:cs="Times New Roman"/>
                <w:bCs/>
                <w:szCs w:val="24"/>
              </w:rPr>
              <w:t xml:space="preserve">з </w:t>
            </w:r>
          </w:p>
          <w:p w:rsidR="000A29B0" w:rsidRPr="007020C2" w:rsidRDefault="000A29B0" w:rsidP="00E0767B">
            <w:pPr>
              <w:spacing w:after="100" w:line="240" w:lineRule="auto"/>
              <w:ind w:left="34" w:firstLine="238"/>
              <w:rPr>
                <w:rFonts w:ascii="Times New Roman" w:hAnsi="Times New Roman" w:cs="Times New Roman"/>
                <w:bCs/>
                <w:szCs w:val="24"/>
              </w:rPr>
            </w:pPr>
            <w:r w:rsidRPr="007020C2">
              <w:rPr>
                <w:rFonts w:ascii="Times New Roman" w:hAnsi="Times New Roman" w:cs="Times New Roman"/>
                <w:bCs/>
                <w:szCs w:val="24"/>
                <w:lang w:val="en-US"/>
              </w:rPr>
              <w:t>h</w:t>
            </w:r>
            <w:r w:rsidRPr="007020C2">
              <w:rPr>
                <w:rFonts w:ascii="Times New Roman" w:hAnsi="Times New Roman" w:cs="Times New Roman"/>
                <w:bCs/>
                <w:szCs w:val="24"/>
              </w:rPr>
              <w:t xml:space="preserve"> × </w:t>
            </w:r>
            <w:r w:rsidRPr="007020C2">
              <w:rPr>
                <w:rFonts w:ascii="Times New Roman" w:hAnsi="Times New Roman" w:cs="Times New Roman"/>
                <w:bCs/>
                <w:szCs w:val="24"/>
                <w:lang w:val="en-US"/>
              </w:rPr>
              <w:t>m</w:t>
            </w:r>
            <w:r w:rsidRPr="007020C2">
              <w:rPr>
                <w:rFonts w:ascii="Times New Roman" w:hAnsi="Times New Roman" w:cs="Times New Roman"/>
                <w:bCs/>
                <w:szCs w:val="24"/>
              </w:rPr>
              <w:t xml:space="preserve"> × </w:t>
            </w:r>
            <w:r w:rsidRPr="007020C2">
              <w:rPr>
                <w:rFonts w:ascii="Times New Roman" w:hAnsi="Times New Roman" w:cs="Times New Roman"/>
                <w:bCs/>
                <w:szCs w:val="24"/>
                <w:lang w:val="en-US"/>
              </w:rPr>
              <w:t>Y</w:t>
            </w:r>
            <w:r w:rsidRPr="007020C2">
              <w:rPr>
                <w:rFonts w:ascii="Times New Roman" w:hAnsi="Times New Roman" w:cs="Times New Roman"/>
                <w:bCs/>
                <w:szCs w:val="24"/>
              </w:rPr>
              <w:t>× Кп = (Кз</w:t>
            </w:r>
            <w:r w:rsidRPr="007020C2">
              <w:rPr>
                <w:rFonts w:ascii="Times New Roman" w:hAnsi="Times New Roman" w:cs="Times New Roman"/>
                <w:bCs/>
                <w:szCs w:val="24"/>
                <w:vertAlign w:val="superscript"/>
                <w:lang w:val="en-US"/>
              </w:rPr>
              <w:t>max</w:t>
            </w:r>
            <w:r w:rsidRPr="007020C2">
              <w:rPr>
                <w:rFonts w:ascii="Times New Roman" w:hAnsi="Times New Roman" w:cs="Times New Roman"/>
                <w:szCs w:val="24"/>
              </w:rPr>
              <w:t xml:space="preserve"> /100%)</w:t>
            </w:r>
            <w:r w:rsidRPr="007020C2">
              <w:rPr>
                <w:rFonts w:ascii="Times New Roman" w:hAnsi="Times New Roman" w:cs="Times New Roman"/>
                <w:bCs/>
                <w:szCs w:val="24"/>
              </w:rPr>
              <w:t xml:space="preserve"> × (X×Y)</w:t>
            </w:r>
          </w:p>
          <w:p w:rsidR="000A29B0" w:rsidRPr="007020C2" w:rsidRDefault="000A29B0" w:rsidP="00E0767B">
            <w:pPr>
              <w:spacing w:after="100" w:line="240" w:lineRule="auto"/>
              <w:ind w:left="34" w:firstLine="238"/>
              <w:rPr>
                <w:rFonts w:ascii="Times New Roman" w:hAnsi="Times New Roman" w:cs="Times New Roman"/>
                <w:bCs/>
                <w:szCs w:val="24"/>
              </w:rPr>
            </w:pPr>
            <w:r w:rsidRPr="007020C2">
              <w:rPr>
                <w:rFonts w:ascii="Times New Roman" w:hAnsi="Times New Roman" w:cs="Times New Roman"/>
                <w:bCs/>
                <w:szCs w:val="24"/>
              </w:rPr>
              <w:t>выводится формула для расчета глубины квартала Х:</w:t>
            </w:r>
          </w:p>
          <w:p w:rsidR="000A29B0" w:rsidRPr="007020C2" w:rsidRDefault="000A29B0" w:rsidP="000A29B0">
            <w:pPr>
              <w:spacing w:line="240" w:lineRule="auto"/>
              <w:ind w:left="34" w:firstLine="241"/>
              <w:rPr>
                <w:rFonts w:ascii="Times New Roman" w:hAnsi="Times New Roman" w:cs="Times New Roman"/>
                <w:bCs/>
                <w:szCs w:val="24"/>
              </w:rPr>
            </w:pPr>
            <w:r w:rsidRPr="007020C2">
              <w:rPr>
                <w:rFonts w:ascii="Times New Roman" w:hAnsi="Times New Roman" w:cs="Times New Roman"/>
                <w:bCs/>
                <w:szCs w:val="24"/>
              </w:rPr>
              <w:t xml:space="preserve">Х = </w:t>
            </w:r>
            <w:r w:rsidRPr="007020C2">
              <w:rPr>
                <w:rFonts w:ascii="Times New Roman" w:hAnsi="Times New Roman" w:cs="Times New Roman"/>
                <w:bCs/>
                <w:szCs w:val="24"/>
                <w:lang w:val="en-US"/>
              </w:rPr>
              <w:t>m</w:t>
            </w:r>
            <w:r w:rsidRPr="007020C2">
              <w:rPr>
                <w:rFonts w:ascii="Times New Roman" w:hAnsi="Times New Roman" w:cs="Times New Roman"/>
                <w:bCs/>
                <w:szCs w:val="24"/>
              </w:rPr>
              <w:t xml:space="preserve"> × h × Кп / (Кз</w:t>
            </w:r>
            <w:r w:rsidRPr="007020C2">
              <w:rPr>
                <w:rFonts w:ascii="Times New Roman" w:hAnsi="Times New Roman" w:cs="Times New Roman"/>
                <w:bCs/>
                <w:szCs w:val="24"/>
                <w:vertAlign w:val="superscript"/>
                <w:lang w:val="en-US"/>
              </w:rPr>
              <w:t>max</w:t>
            </w:r>
            <w:r w:rsidRPr="007020C2">
              <w:rPr>
                <w:rFonts w:ascii="Times New Roman" w:hAnsi="Times New Roman" w:cs="Times New Roman"/>
                <w:bCs/>
                <w:szCs w:val="24"/>
              </w:rPr>
              <w:t xml:space="preserve"> /100%).</w:t>
            </w:r>
          </w:p>
          <w:p w:rsidR="000A29B0" w:rsidRPr="007020C2" w:rsidRDefault="000A29B0" w:rsidP="006B3DE9">
            <w:pPr>
              <w:spacing w:after="0" w:line="240" w:lineRule="auto"/>
              <w:ind w:firstLine="238"/>
              <w:rPr>
                <w:rFonts w:ascii="Times New Roman" w:hAnsi="Times New Roman" w:cs="Times New Roman"/>
                <w:szCs w:val="24"/>
              </w:rPr>
            </w:pPr>
            <w:r w:rsidRPr="007020C2">
              <w:rPr>
                <w:rFonts w:ascii="Times New Roman" w:hAnsi="Times New Roman" w:cs="Times New Roman"/>
                <w:bCs/>
                <w:szCs w:val="24"/>
              </w:rPr>
              <w:t>При строчной застройке глубина квартала возрастает прямо пропорционально количеству линий застройки, средней ширине зданий, коэффициенту непрерывности застройки, и обратно пропорционально максимальному коэффициенту застройки (который уменьшается с ростом средней этажности домов). Протяженность квартала по фронту линий застройки не зависит от выше перечисленных параметров.</w:t>
            </w:r>
          </w:p>
        </w:tc>
      </w:tr>
      <w:tr w:rsidR="000A29B0" w:rsidRPr="007020C2" w:rsidTr="006B3DE9">
        <w:trPr>
          <w:trHeight w:val="7492"/>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0A29B0" w:rsidRPr="007020C2" w:rsidRDefault="000A29B0"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2.1.12</w:t>
            </w:r>
          </w:p>
          <w:p w:rsidR="000A29B0" w:rsidRPr="007020C2" w:rsidRDefault="000A29B0"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2.1.13</w:t>
            </w:r>
          </w:p>
          <w:p w:rsidR="000A29B0" w:rsidRPr="007020C2" w:rsidRDefault="000A29B0"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0A29B0" w:rsidRPr="007020C2" w:rsidRDefault="000A29B0" w:rsidP="00E0767B">
            <w:pPr>
              <w:spacing w:line="240" w:lineRule="auto"/>
              <w:ind w:left="34" w:firstLine="241"/>
              <w:jc w:val="both"/>
              <w:rPr>
                <w:rFonts w:ascii="Times New Roman" w:hAnsi="Times New Roman" w:cs="Times New Roman"/>
              </w:rPr>
            </w:pPr>
            <w:r w:rsidRPr="007020C2">
              <w:rPr>
                <w:rFonts w:ascii="Times New Roman" w:hAnsi="Times New Roman" w:cs="Times New Roman"/>
                <w:bCs/>
              </w:rPr>
              <w:t xml:space="preserve">Формула зависимости минимального размера квартала прямоугольной формы с шириной Х, длиной  Y = r × X  (r&gt;=1)  и площадью  S = X × Y от </w:t>
            </w:r>
            <w:r w:rsidRPr="007020C2">
              <w:rPr>
                <w:rFonts w:ascii="Times New Roman" w:hAnsi="Times New Roman" w:cs="Times New Roman"/>
              </w:rPr>
              <w:t xml:space="preserve">максимального коэффициента застройки квартала </w:t>
            </w:r>
            <w:r w:rsidRPr="007020C2">
              <w:rPr>
                <w:rFonts w:ascii="Times New Roman" w:hAnsi="Times New Roman" w:cs="Times New Roman"/>
                <w:bCs/>
              </w:rPr>
              <w:t>Кз</w:t>
            </w:r>
            <w:r w:rsidRPr="007020C2">
              <w:rPr>
                <w:rFonts w:ascii="Times New Roman" w:hAnsi="Times New Roman" w:cs="Times New Roman"/>
                <w:bCs/>
                <w:vertAlign w:val="superscript"/>
                <w:lang w:val="en-US"/>
              </w:rPr>
              <w:t>max</w:t>
            </w:r>
            <w:r w:rsidRPr="007020C2">
              <w:rPr>
                <w:rFonts w:ascii="Times New Roman" w:hAnsi="Times New Roman" w:cs="Times New Roman"/>
              </w:rPr>
              <w:t xml:space="preserve">, средней ширины зданий в квартале </w:t>
            </w:r>
            <w:r w:rsidRPr="007020C2">
              <w:rPr>
                <w:rFonts w:ascii="Times New Roman" w:hAnsi="Times New Roman" w:cs="Times New Roman"/>
                <w:lang w:val="en-US"/>
              </w:rPr>
              <w:t>h</w:t>
            </w:r>
            <w:r w:rsidRPr="007020C2">
              <w:rPr>
                <w:rFonts w:ascii="Times New Roman" w:hAnsi="Times New Roman" w:cs="Times New Roman"/>
              </w:rPr>
              <w:t xml:space="preserve"> (</w:t>
            </w:r>
            <w:r w:rsidRPr="007020C2">
              <w:rPr>
                <w:rFonts w:ascii="Times New Roman" w:hAnsi="Times New Roman" w:cs="Times New Roman"/>
                <w:lang w:val="en-US"/>
              </w:rPr>
              <w:t>h</w:t>
            </w:r>
            <w:r w:rsidRPr="007020C2">
              <w:rPr>
                <w:rFonts w:ascii="Times New Roman" w:hAnsi="Times New Roman" w:cs="Times New Roman"/>
              </w:rPr>
              <w:t xml:space="preserve">&lt;Х/2) и </w:t>
            </w:r>
            <w:r w:rsidRPr="007020C2">
              <w:rPr>
                <w:rFonts w:ascii="Times New Roman" w:hAnsi="Times New Roman" w:cs="Times New Roman"/>
                <w:bCs/>
              </w:rPr>
              <w:t>коэффициента непрерывности</w:t>
            </w:r>
            <w:r w:rsidRPr="007020C2">
              <w:rPr>
                <w:rFonts w:ascii="Times New Roman" w:hAnsi="Times New Roman" w:cs="Times New Roman"/>
              </w:rPr>
              <w:t xml:space="preserve"> периметральной застройки Кп получена </w:t>
            </w:r>
            <w:r w:rsidRPr="007020C2">
              <w:rPr>
                <w:rFonts w:ascii="Times New Roman" w:hAnsi="Times New Roman" w:cs="Times New Roman"/>
                <w:bCs/>
              </w:rPr>
              <w:t xml:space="preserve">в результате решения квадратного уравнения  </w:t>
            </w:r>
            <w:r w:rsidRPr="007020C2">
              <w:rPr>
                <w:rFonts w:ascii="Times New Roman" w:hAnsi="Times New Roman" w:cs="Times New Roman"/>
              </w:rPr>
              <w:t>а</w:t>
            </w:r>
            <w:r w:rsidRPr="007020C2">
              <w:rPr>
                <w:rFonts w:ascii="Times New Roman" w:hAnsi="Times New Roman" w:cs="Times New Roman"/>
                <w:bCs/>
              </w:rPr>
              <w:t>×</w:t>
            </w:r>
            <w:r w:rsidRPr="007020C2">
              <w:rPr>
                <w:rFonts w:ascii="Times New Roman" w:hAnsi="Times New Roman" w:cs="Times New Roman"/>
              </w:rPr>
              <w:t>Х</w:t>
            </w:r>
            <w:r w:rsidRPr="007020C2">
              <w:rPr>
                <w:rFonts w:ascii="Times New Roman" w:hAnsi="Times New Roman" w:cs="Times New Roman"/>
                <w:vertAlign w:val="superscript"/>
              </w:rPr>
              <w:t xml:space="preserve">2 </w:t>
            </w:r>
            <w:r w:rsidRPr="007020C2">
              <w:rPr>
                <w:rFonts w:ascii="Times New Roman" w:hAnsi="Times New Roman" w:cs="Times New Roman"/>
              </w:rPr>
              <w:t xml:space="preserve">+ </w:t>
            </w:r>
            <w:r w:rsidRPr="007020C2">
              <w:rPr>
                <w:rFonts w:ascii="Times New Roman" w:hAnsi="Times New Roman" w:cs="Times New Roman"/>
                <w:lang w:val="en-US"/>
              </w:rPr>
              <w:t>b</w:t>
            </w:r>
            <w:r w:rsidRPr="007020C2">
              <w:rPr>
                <w:rFonts w:ascii="Times New Roman" w:hAnsi="Times New Roman" w:cs="Times New Roman"/>
                <w:bCs/>
              </w:rPr>
              <w:t>×</w:t>
            </w:r>
            <w:r w:rsidRPr="007020C2">
              <w:rPr>
                <w:rFonts w:ascii="Times New Roman" w:hAnsi="Times New Roman" w:cs="Times New Roman"/>
              </w:rPr>
              <w:t xml:space="preserve">Х + с = 0, математически описывающего соотношения между перечисленными параметрами. </w:t>
            </w:r>
          </w:p>
          <w:tbl>
            <w:tblPr>
              <w:tblStyle w:val="a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34"/>
              <w:gridCol w:w="5386"/>
              <w:gridCol w:w="567"/>
            </w:tblGrid>
            <w:tr w:rsidR="000A29B0" w:rsidRPr="007020C2" w:rsidTr="007E35EB">
              <w:trPr>
                <w:trHeight w:val="557"/>
              </w:trPr>
              <w:tc>
                <w:tcPr>
                  <w:tcW w:w="5920" w:type="dxa"/>
                  <w:gridSpan w:val="2"/>
                  <w:shd w:val="clear" w:color="auto" w:fill="D9D9D9" w:themeFill="background1" w:themeFillShade="D9"/>
                </w:tcPr>
                <w:p w:rsidR="000A29B0" w:rsidRPr="007020C2" w:rsidRDefault="000A29B0" w:rsidP="007E35EB">
                  <w:pPr>
                    <w:spacing w:line="240" w:lineRule="auto"/>
                    <w:rPr>
                      <w:sz w:val="22"/>
                      <w:szCs w:val="22"/>
                    </w:rPr>
                  </w:pPr>
                  <w:r w:rsidRPr="007020C2">
                    <w:rPr>
                      <w:sz w:val="22"/>
                      <w:szCs w:val="22"/>
                      <w:lang w:val="en-US"/>
                    </w:rPr>
                    <w:t>Y</w:t>
                  </w:r>
                </w:p>
              </w:tc>
              <w:tc>
                <w:tcPr>
                  <w:tcW w:w="567" w:type="dxa"/>
                  <w:vMerge w:val="restart"/>
                  <w:shd w:val="clear" w:color="auto" w:fill="D9D9D9" w:themeFill="background1" w:themeFillShade="D9"/>
                </w:tcPr>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p>
                <w:p w:rsidR="000A29B0" w:rsidRPr="007020C2" w:rsidRDefault="000A29B0" w:rsidP="007E35EB">
                  <w:pPr>
                    <w:spacing w:line="240" w:lineRule="auto"/>
                    <w:ind w:left="-339"/>
                    <w:rPr>
                      <w:sz w:val="22"/>
                      <w:szCs w:val="22"/>
                    </w:rPr>
                  </w:pPr>
                  <w:r w:rsidRPr="007020C2">
                    <w:rPr>
                      <w:sz w:val="22"/>
                      <w:szCs w:val="22"/>
                      <w:lang w:val="en-US"/>
                    </w:rPr>
                    <w:t>h</w:t>
                  </w:r>
                </w:p>
              </w:tc>
            </w:tr>
            <w:tr w:rsidR="000A29B0" w:rsidRPr="007020C2" w:rsidTr="007E35EB">
              <w:trPr>
                <w:trHeight w:val="2404"/>
              </w:trPr>
              <w:tc>
                <w:tcPr>
                  <w:tcW w:w="534" w:type="dxa"/>
                  <w:vMerge w:val="restart"/>
                  <w:shd w:val="clear" w:color="auto" w:fill="D9D9D9" w:themeFill="background1" w:themeFillShade="D9"/>
                </w:tcPr>
                <w:p w:rsidR="000A29B0" w:rsidRPr="007020C2" w:rsidRDefault="000A29B0" w:rsidP="007E35EB">
                  <w:pPr>
                    <w:spacing w:line="240" w:lineRule="auto"/>
                    <w:ind w:firstLine="0"/>
                    <w:rPr>
                      <w:bCs/>
                      <w:sz w:val="22"/>
                      <w:szCs w:val="22"/>
                    </w:rPr>
                  </w:pPr>
                </w:p>
                <w:p w:rsidR="000A29B0" w:rsidRPr="007020C2" w:rsidRDefault="000A29B0" w:rsidP="007E35EB">
                  <w:pPr>
                    <w:spacing w:line="240" w:lineRule="auto"/>
                    <w:ind w:firstLine="0"/>
                    <w:rPr>
                      <w:bCs/>
                      <w:sz w:val="22"/>
                      <w:szCs w:val="22"/>
                    </w:rPr>
                  </w:pPr>
                </w:p>
                <w:p w:rsidR="000A29B0" w:rsidRPr="007020C2" w:rsidRDefault="000A29B0" w:rsidP="007E35EB">
                  <w:pPr>
                    <w:spacing w:line="240" w:lineRule="auto"/>
                    <w:ind w:firstLine="0"/>
                    <w:rPr>
                      <w:bCs/>
                      <w:sz w:val="22"/>
                      <w:szCs w:val="22"/>
                    </w:rPr>
                  </w:pPr>
                </w:p>
                <w:p w:rsidR="000A29B0" w:rsidRPr="007020C2" w:rsidRDefault="000A29B0" w:rsidP="007E35EB">
                  <w:pPr>
                    <w:spacing w:line="240" w:lineRule="auto"/>
                    <w:ind w:firstLine="0"/>
                    <w:rPr>
                      <w:bCs/>
                      <w:sz w:val="22"/>
                      <w:szCs w:val="22"/>
                    </w:rPr>
                  </w:pPr>
                </w:p>
                <w:p w:rsidR="000A29B0" w:rsidRPr="007020C2" w:rsidRDefault="000A29B0" w:rsidP="007E35EB">
                  <w:pPr>
                    <w:spacing w:line="240" w:lineRule="auto"/>
                    <w:ind w:left="-89" w:firstLine="0"/>
                    <w:rPr>
                      <w:sz w:val="22"/>
                      <w:szCs w:val="22"/>
                    </w:rPr>
                  </w:pPr>
                  <w:r w:rsidRPr="007020C2">
                    <w:rPr>
                      <w:bCs/>
                      <w:sz w:val="22"/>
                      <w:szCs w:val="22"/>
                    </w:rPr>
                    <w:t xml:space="preserve"> Х</w:t>
                  </w:r>
                </w:p>
              </w:tc>
              <w:tc>
                <w:tcPr>
                  <w:tcW w:w="5386" w:type="dxa"/>
                </w:tcPr>
                <w:p w:rsidR="000A29B0" w:rsidRPr="007020C2" w:rsidRDefault="000A29B0" w:rsidP="007E35EB">
                  <w:pPr>
                    <w:spacing w:line="240" w:lineRule="auto"/>
                    <w:rPr>
                      <w:sz w:val="22"/>
                      <w:szCs w:val="22"/>
                    </w:rPr>
                  </w:pPr>
                </w:p>
              </w:tc>
              <w:tc>
                <w:tcPr>
                  <w:tcW w:w="567" w:type="dxa"/>
                  <w:vMerge/>
                  <w:shd w:val="clear" w:color="auto" w:fill="D9D9D9" w:themeFill="background1" w:themeFillShade="D9"/>
                </w:tcPr>
                <w:p w:rsidR="000A29B0" w:rsidRPr="007020C2" w:rsidRDefault="000A29B0" w:rsidP="007E35EB">
                  <w:pPr>
                    <w:spacing w:line="240" w:lineRule="auto"/>
                    <w:rPr>
                      <w:sz w:val="22"/>
                      <w:szCs w:val="22"/>
                    </w:rPr>
                  </w:pPr>
                </w:p>
              </w:tc>
            </w:tr>
            <w:tr w:rsidR="000A29B0" w:rsidRPr="007020C2" w:rsidTr="007E35EB">
              <w:trPr>
                <w:trHeight w:val="554"/>
              </w:trPr>
              <w:tc>
                <w:tcPr>
                  <w:tcW w:w="534" w:type="dxa"/>
                  <w:vMerge/>
                  <w:shd w:val="clear" w:color="auto" w:fill="D9D9D9" w:themeFill="background1" w:themeFillShade="D9"/>
                </w:tcPr>
                <w:p w:rsidR="000A29B0" w:rsidRPr="007020C2" w:rsidRDefault="000A29B0" w:rsidP="007E35EB">
                  <w:pPr>
                    <w:spacing w:line="240" w:lineRule="auto"/>
                    <w:rPr>
                      <w:sz w:val="22"/>
                      <w:szCs w:val="22"/>
                    </w:rPr>
                  </w:pPr>
                </w:p>
              </w:tc>
              <w:tc>
                <w:tcPr>
                  <w:tcW w:w="5953" w:type="dxa"/>
                  <w:gridSpan w:val="2"/>
                  <w:shd w:val="clear" w:color="auto" w:fill="D9D9D9" w:themeFill="background1" w:themeFillShade="D9"/>
                </w:tcPr>
                <w:p w:rsidR="000A29B0" w:rsidRPr="007020C2" w:rsidRDefault="000A29B0" w:rsidP="007E35EB">
                  <w:pPr>
                    <w:spacing w:line="240" w:lineRule="auto"/>
                    <w:rPr>
                      <w:sz w:val="22"/>
                      <w:szCs w:val="22"/>
                    </w:rPr>
                  </w:pPr>
                </w:p>
              </w:tc>
            </w:tr>
          </w:tbl>
          <w:p w:rsidR="000A29B0" w:rsidRPr="007020C2" w:rsidRDefault="000A29B0" w:rsidP="000A29B0">
            <w:pPr>
              <w:spacing w:line="240" w:lineRule="auto"/>
              <w:ind w:left="34" w:firstLine="3118"/>
              <w:rPr>
                <w:rFonts w:ascii="Times New Roman" w:hAnsi="Times New Roman" w:cs="Times New Roman"/>
              </w:rPr>
            </w:pPr>
            <w:r w:rsidRPr="007020C2">
              <w:rPr>
                <w:rFonts w:ascii="Times New Roman" w:hAnsi="Times New Roman" w:cs="Times New Roman"/>
              </w:rPr>
              <w:t>Рис.2</w:t>
            </w:r>
          </w:p>
          <w:p w:rsidR="000A29B0" w:rsidRPr="007020C2" w:rsidRDefault="000A29B0" w:rsidP="00E0767B">
            <w:pPr>
              <w:spacing w:after="100" w:line="240" w:lineRule="auto"/>
              <w:ind w:left="34" w:firstLine="459"/>
              <w:jc w:val="both"/>
              <w:rPr>
                <w:rFonts w:ascii="Times New Roman" w:hAnsi="Times New Roman" w:cs="Times New Roman"/>
              </w:rPr>
            </w:pPr>
            <w:r w:rsidRPr="007020C2">
              <w:rPr>
                <w:rFonts w:ascii="Times New Roman" w:hAnsi="Times New Roman" w:cs="Times New Roman"/>
              </w:rPr>
              <w:t xml:space="preserve">В случае сплошной периметральной застройки, изображенной на рисунке 2, когда все здания одинаковой ширины </w:t>
            </w:r>
            <w:r w:rsidRPr="007020C2">
              <w:rPr>
                <w:rFonts w:ascii="Times New Roman" w:hAnsi="Times New Roman" w:cs="Times New Roman"/>
                <w:lang w:val="en-US"/>
              </w:rPr>
              <w:t>h</w:t>
            </w:r>
            <w:r w:rsidRPr="007020C2">
              <w:rPr>
                <w:rFonts w:ascii="Times New Roman" w:hAnsi="Times New Roman" w:cs="Times New Roman"/>
              </w:rPr>
              <w:t xml:space="preserve"> расположены без разрывов по периметру квартала, площадь застройки </w:t>
            </w:r>
            <w:r w:rsidRPr="007020C2">
              <w:rPr>
                <w:rFonts w:ascii="Times New Roman" w:hAnsi="Times New Roman" w:cs="Times New Roman"/>
                <w:bCs/>
              </w:rPr>
              <w:t>Sз</w:t>
            </w:r>
            <w:r w:rsidRPr="007020C2">
              <w:rPr>
                <w:rFonts w:ascii="Times New Roman" w:hAnsi="Times New Roman" w:cs="Times New Roman"/>
              </w:rPr>
              <w:t xml:space="preserve"> зависит от  ширины зданий </w:t>
            </w:r>
            <w:r w:rsidRPr="007020C2">
              <w:rPr>
                <w:rFonts w:ascii="Times New Roman" w:hAnsi="Times New Roman" w:cs="Times New Roman"/>
                <w:lang w:val="en-US"/>
              </w:rPr>
              <w:t>h</w:t>
            </w:r>
            <w:r w:rsidRPr="007020C2">
              <w:rPr>
                <w:rFonts w:ascii="Times New Roman" w:hAnsi="Times New Roman" w:cs="Times New Roman"/>
              </w:rPr>
              <w:t xml:space="preserve"> и протяженности сторон квартала:</w:t>
            </w:r>
          </w:p>
          <w:p w:rsidR="000A29B0" w:rsidRPr="007020C2" w:rsidRDefault="000A29B0" w:rsidP="00E0767B">
            <w:pPr>
              <w:spacing w:after="100" w:line="240" w:lineRule="auto"/>
              <w:ind w:left="34" w:firstLine="459"/>
              <w:rPr>
                <w:rFonts w:ascii="Times New Roman" w:hAnsi="Times New Roman" w:cs="Times New Roman"/>
                <w:lang w:val="en-US"/>
              </w:rPr>
            </w:pPr>
            <w:r w:rsidRPr="007020C2">
              <w:rPr>
                <w:rFonts w:ascii="Times New Roman" w:hAnsi="Times New Roman" w:cs="Times New Roman"/>
                <w:bCs/>
                <w:lang w:val="en-US"/>
              </w:rPr>
              <w:t>S</w:t>
            </w:r>
            <w:r w:rsidRPr="007020C2">
              <w:rPr>
                <w:rFonts w:ascii="Times New Roman" w:hAnsi="Times New Roman" w:cs="Times New Roman"/>
                <w:bCs/>
              </w:rPr>
              <w:t>з</w:t>
            </w:r>
            <w:r w:rsidRPr="007020C2">
              <w:rPr>
                <w:rFonts w:ascii="Times New Roman" w:hAnsi="Times New Roman" w:cs="Times New Roman"/>
                <w:bCs/>
                <w:lang w:val="en-US"/>
              </w:rPr>
              <w:t xml:space="preserve"> = </w:t>
            </w:r>
            <w:r w:rsidRPr="007020C2">
              <w:rPr>
                <w:rFonts w:ascii="Times New Roman" w:hAnsi="Times New Roman" w:cs="Times New Roman"/>
                <w:lang w:val="en-US"/>
              </w:rPr>
              <w:t xml:space="preserve">h </w:t>
            </w:r>
            <w:r w:rsidRPr="007020C2">
              <w:rPr>
                <w:rFonts w:ascii="Times New Roman" w:hAnsi="Times New Roman" w:cs="Times New Roman"/>
                <w:bCs/>
                <w:lang w:val="en-US"/>
              </w:rPr>
              <w:t>× (2×(X</w:t>
            </w:r>
            <w:r w:rsidR="00AE7596" w:rsidRPr="007020C2">
              <w:rPr>
                <w:rFonts w:ascii="Times New Roman" w:hAnsi="Times New Roman" w:cs="Times New Roman"/>
                <w:bCs/>
                <w:lang w:val="en-US"/>
              </w:rPr>
              <w:t>–</w:t>
            </w:r>
            <w:r w:rsidRPr="007020C2">
              <w:rPr>
                <w:rFonts w:ascii="Times New Roman" w:hAnsi="Times New Roman" w:cs="Times New Roman"/>
                <w:lang w:val="en-US"/>
              </w:rPr>
              <w:t xml:space="preserve"> h)+</w:t>
            </w:r>
            <w:r w:rsidRPr="007020C2">
              <w:rPr>
                <w:rFonts w:ascii="Times New Roman" w:hAnsi="Times New Roman" w:cs="Times New Roman"/>
                <w:bCs/>
                <w:lang w:val="en-US"/>
              </w:rPr>
              <w:t>2×(Y</w:t>
            </w:r>
            <w:r w:rsidR="00AE7596" w:rsidRPr="007020C2">
              <w:rPr>
                <w:rFonts w:ascii="Times New Roman" w:hAnsi="Times New Roman" w:cs="Times New Roman"/>
                <w:bCs/>
                <w:lang w:val="en-US"/>
              </w:rPr>
              <w:t>–</w:t>
            </w:r>
            <w:r w:rsidRPr="007020C2">
              <w:rPr>
                <w:rFonts w:ascii="Times New Roman" w:hAnsi="Times New Roman" w:cs="Times New Roman"/>
                <w:lang w:val="en-US"/>
              </w:rPr>
              <w:t xml:space="preserve">h)) </w:t>
            </w:r>
            <w:r w:rsidRPr="007020C2">
              <w:rPr>
                <w:rFonts w:ascii="Times New Roman" w:hAnsi="Times New Roman" w:cs="Times New Roman"/>
                <w:bCs/>
                <w:lang w:val="en-US"/>
              </w:rPr>
              <w:t xml:space="preserve">= </w:t>
            </w:r>
            <w:r w:rsidRPr="007020C2">
              <w:rPr>
                <w:rFonts w:ascii="Times New Roman" w:hAnsi="Times New Roman" w:cs="Times New Roman"/>
                <w:lang w:val="en-US"/>
              </w:rPr>
              <w:t xml:space="preserve">h </w:t>
            </w:r>
            <w:r w:rsidRPr="007020C2">
              <w:rPr>
                <w:rFonts w:ascii="Times New Roman" w:hAnsi="Times New Roman" w:cs="Times New Roman"/>
                <w:bCs/>
                <w:lang w:val="en-US"/>
              </w:rPr>
              <w:t>× (2×(X</w:t>
            </w:r>
            <w:r w:rsidR="00AE7596" w:rsidRPr="007020C2">
              <w:rPr>
                <w:rFonts w:ascii="Times New Roman" w:hAnsi="Times New Roman" w:cs="Times New Roman"/>
                <w:bCs/>
                <w:lang w:val="en-US"/>
              </w:rPr>
              <w:t>–</w:t>
            </w:r>
            <w:r w:rsidRPr="007020C2">
              <w:rPr>
                <w:rFonts w:ascii="Times New Roman" w:hAnsi="Times New Roman" w:cs="Times New Roman"/>
                <w:lang w:val="en-US"/>
              </w:rPr>
              <w:t xml:space="preserve">h) + </w:t>
            </w:r>
            <w:r w:rsidRPr="007020C2">
              <w:rPr>
                <w:rFonts w:ascii="Times New Roman" w:hAnsi="Times New Roman" w:cs="Times New Roman"/>
                <w:bCs/>
                <w:lang w:val="en-US"/>
              </w:rPr>
              <w:t>2×(r×X</w:t>
            </w:r>
            <w:r w:rsidR="00AE7596" w:rsidRPr="007020C2">
              <w:rPr>
                <w:rFonts w:ascii="Times New Roman" w:hAnsi="Times New Roman" w:cs="Times New Roman"/>
                <w:bCs/>
                <w:lang w:val="en-US"/>
              </w:rPr>
              <w:t>–</w:t>
            </w:r>
            <w:r w:rsidRPr="007020C2">
              <w:rPr>
                <w:rFonts w:ascii="Times New Roman" w:hAnsi="Times New Roman" w:cs="Times New Roman"/>
                <w:lang w:val="en-US"/>
              </w:rPr>
              <w:t>h)) =</w:t>
            </w:r>
          </w:p>
          <w:p w:rsidR="000A29B0" w:rsidRPr="007020C2" w:rsidRDefault="000A29B0" w:rsidP="00E0767B">
            <w:pPr>
              <w:spacing w:after="100" w:line="240" w:lineRule="auto"/>
              <w:ind w:left="34" w:firstLine="459"/>
              <w:rPr>
                <w:rFonts w:ascii="Times New Roman" w:hAnsi="Times New Roman" w:cs="Times New Roman"/>
                <w:bCs/>
              </w:rPr>
            </w:pPr>
            <w:r w:rsidRPr="007020C2">
              <w:rPr>
                <w:rFonts w:ascii="Times New Roman" w:hAnsi="Times New Roman" w:cs="Times New Roman"/>
              </w:rPr>
              <w:t>2</w:t>
            </w:r>
            <w:r w:rsidRPr="007020C2">
              <w:rPr>
                <w:rFonts w:ascii="Times New Roman" w:hAnsi="Times New Roman" w:cs="Times New Roman"/>
                <w:bCs/>
              </w:rPr>
              <w:t>×</w:t>
            </w:r>
            <w:r w:rsidRPr="007020C2">
              <w:rPr>
                <w:rFonts w:ascii="Times New Roman" w:hAnsi="Times New Roman" w:cs="Times New Roman"/>
                <w:lang w:val="en-US"/>
              </w:rPr>
              <w:t>h</w:t>
            </w:r>
            <w:r w:rsidRPr="007020C2">
              <w:rPr>
                <w:rFonts w:ascii="Times New Roman" w:hAnsi="Times New Roman" w:cs="Times New Roman"/>
                <w:bCs/>
              </w:rPr>
              <w:t xml:space="preserve">×(1+ </w:t>
            </w:r>
            <w:r w:rsidRPr="007020C2">
              <w:rPr>
                <w:rFonts w:ascii="Times New Roman" w:hAnsi="Times New Roman" w:cs="Times New Roman"/>
                <w:bCs/>
                <w:lang w:val="en-US"/>
              </w:rPr>
              <w:t>r</w:t>
            </w:r>
            <w:r w:rsidRPr="007020C2">
              <w:rPr>
                <w:rFonts w:ascii="Times New Roman" w:hAnsi="Times New Roman" w:cs="Times New Roman"/>
                <w:bCs/>
              </w:rPr>
              <w:t xml:space="preserve">) × </w:t>
            </w:r>
            <w:r w:rsidRPr="007020C2">
              <w:rPr>
                <w:rFonts w:ascii="Times New Roman" w:hAnsi="Times New Roman" w:cs="Times New Roman"/>
                <w:bCs/>
                <w:lang w:val="en-US"/>
              </w:rPr>
              <w:t>X</w:t>
            </w:r>
            <w:r w:rsidR="00AE7596" w:rsidRPr="007020C2">
              <w:rPr>
                <w:rFonts w:ascii="Times New Roman" w:hAnsi="Times New Roman" w:cs="Times New Roman"/>
                <w:bCs/>
              </w:rPr>
              <w:t>–</w:t>
            </w:r>
            <w:r w:rsidRPr="007020C2">
              <w:rPr>
                <w:rFonts w:ascii="Times New Roman" w:hAnsi="Times New Roman" w:cs="Times New Roman"/>
                <w:bCs/>
              </w:rPr>
              <w:t xml:space="preserve"> 4×</w:t>
            </w:r>
            <w:r w:rsidRPr="007020C2">
              <w:rPr>
                <w:rFonts w:ascii="Times New Roman" w:hAnsi="Times New Roman" w:cs="Times New Roman"/>
                <w:lang w:val="en-US"/>
              </w:rPr>
              <w:t>h</w:t>
            </w:r>
            <w:r w:rsidRPr="007020C2">
              <w:rPr>
                <w:rFonts w:ascii="Times New Roman" w:hAnsi="Times New Roman" w:cs="Times New Roman"/>
                <w:vertAlign w:val="superscript"/>
              </w:rPr>
              <w:t>2</w:t>
            </w:r>
            <w:r w:rsidRPr="007020C2">
              <w:rPr>
                <w:rFonts w:ascii="Times New Roman" w:hAnsi="Times New Roman" w:cs="Times New Roman"/>
                <w:bCs/>
              </w:rPr>
              <w:t>.</w:t>
            </w:r>
          </w:p>
          <w:tbl>
            <w:tblPr>
              <w:tblStyle w:val="a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392"/>
              <w:gridCol w:w="450"/>
              <w:gridCol w:w="825"/>
              <w:gridCol w:w="585"/>
              <w:gridCol w:w="1590"/>
              <w:gridCol w:w="405"/>
              <w:gridCol w:w="120"/>
              <w:gridCol w:w="1464"/>
              <w:gridCol w:w="420"/>
              <w:gridCol w:w="236"/>
            </w:tblGrid>
            <w:tr w:rsidR="000A29B0" w:rsidRPr="007020C2" w:rsidTr="007E35EB">
              <w:trPr>
                <w:trHeight w:val="407"/>
              </w:trPr>
              <w:tc>
                <w:tcPr>
                  <w:tcW w:w="392" w:type="dxa"/>
                </w:tcPr>
                <w:p w:rsidR="000A29B0" w:rsidRPr="007020C2" w:rsidRDefault="000A29B0" w:rsidP="007E35EB">
                  <w:pPr>
                    <w:spacing w:line="240" w:lineRule="auto"/>
                    <w:rPr>
                      <w:sz w:val="22"/>
                      <w:szCs w:val="22"/>
                    </w:rPr>
                  </w:pPr>
                </w:p>
              </w:tc>
              <w:tc>
                <w:tcPr>
                  <w:tcW w:w="5859" w:type="dxa"/>
                  <w:gridSpan w:val="8"/>
                </w:tcPr>
                <w:p w:rsidR="000A29B0" w:rsidRPr="007020C2" w:rsidRDefault="000A29B0" w:rsidP="007E35EB">
                  <w:pPr>
                    <w:spacing w:line="240" w:lineRule="auto"/>
                    <w:rPr>
                      <w:sz w:val="22"/>
                      <w:szCs w:val="22"/>
                    </w:rPr>
                  </w:pPr>
                  <w:r w:rsidRPr="007020C2">
                    <w:rPr>
                      <w:sz w:val="22"/>
                      <w:szCs w:val="22"/>
                      <w:lang w:val="en-US"/>
                    </w:rPr>
                    <w:t>Y</w:t>
                  </w:r>
                </w:p>
              </w:tc>
              <w:tc>
                <w:tcPr>
                  <w:tcW w:w="236" w:type="dxa"/>
                </w:tcPr>
                <w:p w:rsidR="000A29B0" w:rsidRPr="007020C2" w:rsidRDefault="000A29B0" w:rsidP="007E35EB">
                  <w:pPr>
                    <w:spacing w:line="240" w:lineRule="auto"/>
                    <w:rPr>
                      <w:sz w:val="22"/>
                      <w:szCs w:val="22"/>
                    </w:rPr>
                  </w:pPr>
                </w:p>
              </w:tc>
            </w:tr>
            <w:tr w:rsidR="000A29B0" w:rsidRPr="007020C2" w:rsidTr="007E35EB">
              <w:trPr>
                <w:trHeight w:val="405"/>
              </w:trPr>
              <w:tc>
                <w:tcPr>
                  <w:tcW w:w="392" w:type="dxa"/>
                  <w:vMerge w:val="restart"/>
                </w:tcPr>
                <w:p w:rsidR="000A29B0" w:rsidRPr="007020C2" w:rsidRDefault="000A29B0" w:rsidP="007E35EB">
                  <w:pPr>
                    <w:spacing w:line="240" w:lineRule="auto"/>
                    <w:rPr>
                      <w:bCs/>
                      <w:sz w:val="22"/>
                      <w:szCs w:val="22"/>
                    </w:rPr>
                  </w:pPr>
                </w:p>
                <w:p w:rsidR="000A29B0" w:rsidRPr="007020C2" w:rsidRDefault="000A29B0" w:rsidP="007E35EB">
                  <w:pPr>
                    <w:spacing w:line="240" w:lineRule="auto"/>
                    <w:rPr>
                      <w:bCs/>
                      <w:sz w:val="22"/>
                      <w:szCs w:val="22"/>
                    </w:rPr>
                  </w:pPr>
                </w:p>
                <w:p w:rsidR="000A29B0" w:rsidRPr="007020C2" w:rsidRDefault="000A29B0" w:rsidP="007E35EB">
                  <w:pPr>
                    <w:spacing w:line="240" w:lineRule="auto"/>
                    <w:rPr>
                      <w:bCs/>
                      <w:sz w:val="22"/>
                      <w:szCs w:val="22"/>
                    </w:rPr>
                  </w:pPr>
                </w:p>
                <w:p w:rsidR="000A29B0" w:rsidRPr="007020C2" w:rsidRDefault="000A29B0" w:rsidP="007E35EB">
                  <w:pPr>
                    <w:spacing w:line="240" w:lineRule="auto"/>
                    <w:rPr>
                      <w:bCs/>
                      <w:sz w:val="22"/>
                      <w:szCs w:val="22"/>
                    </w:rPr>
                  </w:pPr>
                </w:p>
                <w:p w:rsidR="000A29B0" w:rsidRPr="007020C2" w:rsidRDefault="000A29B0" w:rsidP="007E35EB">
                  <w:pPr>
                    <w:spacing w:line="240" w:lineRule="auto"/>
                    <w:ind w:left="-142" w:right="-108" w:firstLine="53"/>
                    <w:jc w:val="center"/>
                    <w:rPr>
                      <w:sz w:val="22"/>
                      <w:szCs w:val="22"/>
                    </w:rPr>
                  </w:pPr>
                  <w:r w:rsidRPr="007020C2">
                    <w:rPr>
                      <w:bCs/>
                      <w:sz w:val="22"/>
                      <w:szCs w:val="22"/>
                    </w:rPr>
                    <w:t>Х</w:t>
                  </w:r>
                </w:p>
              </w:tc>
              <w:tc>
                <w:tcPr>
                  <w:tcW w:w="1275" w:type="dxa"/>
                  <w:gridSpan w:val="2"/>
                  <w:shd w:val="clear" w:color="auto" w:fill="D9D9D9" w:themeFill="background1" w:themeFillShade="D9"/>
                </w:tcPr>
                <w:p w:rsidR="000A29B0" w:rsidRPr="007020C2" w:rsidRDefault="000A29B0" w:rsidP="007E35EB">
                  <w:pPr>
                    <w:spacing w:line="240" w:lineRule="auto"/>
                    <w:rPr>
                      <w:sz w:val="22"/>
                      <w:szCs w:val="22"/>
                    </w:rPr>
                  </w:pPr>
                </w:p>
              </w:tc>
              <w:tc>
                <w:tcPr>
                  <w:tcW w:w="585" w:type="dxa"/>
                  <w:vAlign w:val="center"/>
                </w:tcPr>
                <w:p w:rsidR="000A29B0" w:rsidRPr="007020C2" w:rsidRDefault="000A29B0" w:rsidP="007E35EB">
                  <w:pPr>
                    <w:spacing w:line="240" w:lineRule="auto"/>
                    <w:ind w:left="-107"/>
                    <w:rPr>
                      <w:sz w:val="22"/>
                      <w:szCs w:val="22"/>
                    </w:rPr>
                  </w:pPr>
                  <w:r w:rsidRPr="007020C2">
                    <w:rPr>
                      <w:sz w:val="22"/>
                      <w:szCs w:val="22"/>
                      <w:lang w:val="en-US"/>
                    </w:rPr>
                    <w:t>h</w:t>
                  </w:r>
                </w:p>
              </w:tc>
              <w:tc>
                <w:tcPr>
                  <w:tcW w:w="1590" w:type="dxa"/>
                  <w:shd w:val="clear" w:color="auto" w:fill="D9D9D9" w:themeFill="background1" w:themeFillShade="D9"/>
                </w:tcPr>
                <w:p w:rsidR="000A29B0" w:rsidRPr="007020C2" w:rsidRDefault="000A29B0" w:rsidP="007E35EB">
                  <w:pPr>
                    <w:spacing w:line="240" w:lineRule="auto"/>
                    <w:rPr>
                      <w:sz w:val="22"/>
                      <w:szCs w:val="22"/>
                    </w:rPr>
                  </w:pPr>
                </w:p>
              </w:tc>
              <w:tc>
                <w:tcPr>
                  <w:tcW w:w="525" w:type="dxa"/>
                  <w:gridSpan w:val="2"/>
                </w:tcPr>
                <w:p w:rsidR="000A29B0" w:rsidRPr="007020C2" w:rsidRDefault="000A29B0" w:rsidP="007E35EB">
                  <w:pPr>
                    <w:spacing w:line="240" w:lineRule="auto"/>
                    <w:rPr>
                      <w:sz w:val="22"/>
                      <w:szCs w:val="22"/>
                    </w:rPr>
                  </w:pPr>
                </w:p>
              </w:tc>
              <w:tc>
                <w:tcPr>
                  <w:tcW w:w="1884" w:type="dxa"/>
                  <w:gridSpan w:val="2"/>
                  <w:shd w:val="clear" w:color="auto" w:fill="D9D9D9" w:themeFill="background1" w:themeFillShade="D9"/>
                </w:tcPr>
                <w:p w:rsidR="000A29B0" w:rsidRPr="007020C2" w:rsidRDefault="000A29B0" w:rsidP="007E35EB">
                  <w:pPr>
                    <w:spacing w:line="240" w:lineRule="auto"/>
                    <w:rPr>
                      <w:sz w:val="22"/>
                      <w:szCs w:val="22"/>
                    </w:rPr>
                  </w:pPr>
                </w:p>
              </w:tc>
              <w:tc>
                <w:tcPr>
                  <w:tcW w:w="236" w:type="dxa"/>
                  <w:vMerge w:val="restart"/>
                </w:tcPr>
                <w:p w:rsidR="000A29B0" w:rsidRPr="007020C2" w:rsidRDefault="000A29B0" w:rsidP="007E35EB">
                  <w:pPr>
                    <w:spacing w:line="240" w:lineRule="auto"/>
                    <w:rPr>
                      <w:sz w:val="22"/>
                      <w:szCs w:val="22"/>
                    </w:rPr>
                  </w:pPr>
                </w:p>
              </w:tc>
            </w:tr>
            <w:tr w:rsidR="000A29B0" w:rsidRPr="007020C2" w:rsidTr="007E35EB">
              <w:trPr>
                <w:trHeight w:val="525"/>
              </w:trPr>
              <w:tc>
                <w:tcPr>
                  <w:tcW w:w="392" w:type="dxa"/>
                  <w:vMerge/>
                </w:tcPr>
                <w:p w:rsidR="000A29B0" w:rsidRPr="007020C2" w:rsidRDefault="000A29B0" w:rsidP="007E35EB">
                  <w:pPr>
                    <w:spacing w:line="240" w:lineRule="auto"/>
                    <w:rPr>
                      <w:sz w:val="22"/>
                      <w:szCs w:val="22"/>
                    </w:rPr>
                  </w:pPr>
                </w:p>
              </w:tc>
              <w:tc>
                <w:tcPr>
                  <w:tcW w:w="450" w:type="dxa"/>
                  <w:shd w:val="clear" w:color="auto" w:fill="D9D9D9" w:themeFill="background1" w:themeFillShade="D9"/>
                </w:tcPr>
                <w:p w:rsidR="000A29B0" w:rsidRPr="007020C2" w:rsidRDefault="000A29B0" w:rsidP="007E35EB">
                  <w:pPr>
                    <w:spacing w:line="240" w:lineRule="auto"/>
                    <w:rPr>
                      <w:sz w:val="22"/>
                      <w:szCs w:val="22"/>
                    </w:rPr>
                  </w:pPr>
                </w:p>
              </w:tc>
              <w:tc>
                <w:tcPr>
                  <w:tcW w:w="4989" w:type="dxa"/>
                  <w:gridSpan w:val="6"/>
                  <w:vMerge w:val="restart"/>
                </w:tcPr>
                <w:p w:rsidR="000A29B0" w:rsidRPr="007020C2" w:rsidRDefault="000A29B0" w:rsidP="007E35EB">
                  <w:pPr>
                    <w:spacing w:line="240" w:lineRule="auto"/>
                    <w:rPr>
                      <w:sz w:val="22"/>
                      <w:szCs w:val="22"/>
                    </w:rPr>
                  </w:pPr>
                </w:p>
              </w:tc>
              <w:tc>
                <w:tcPr>
                  <w:tcW w:w="420" w:type="dxa"/>
                  <w:vMerge w:val="restart"/>
                  <w:shd w:val="clear" w:color="auto" w:fill="D9D9D9" w:themeFill="background1" w:themeFillShade="D9"/>
                </w:tcPr>
                <w:p w:rsidR="000A29B0" w:rsidRPr="007020C2" w:rsidRDefault="000A29B0" w:rsidP="007E35EB">
                  <w:pPr>
                    <w:spacing w:line="240" w:lineRule="auto"/>
                    <w:rPr>
                      <w:sz w:val="22"/>
                      <w:szCs w:val="22"/>
                    </w:rPr>
                  </w:pPr>
                </w:p>
              </w:tc>
              <w:tc>
                <w:tcPr>
                  <w:tcW w:w="236" w:type="dxa"/>
                  <w:vMerge/>
                </w:tcPr>
                <w:p w:rsidR="000A29B0" w:rsidRPr="007020C2" w:rsidRDefault="000A29B0" w:rsidP="007E35EB">
                  <w:pPr>
                    <w:spacing w:line="240" w:lineRule="auto"/>
                    <w:rPr>
                      <w:sz w:val="22"/>
                      <w:szCs w:val="22"/>
                    </w:rPr>
                  </w:pPr>
                </w:p>
              </w:tc>
            </w:tr>
            <w:tr w:rsidR="000A29B0" w:rsidRPr="007020C2" w:rsidTr="007E35EB">
              <w:trPr>
                <w:trHeight w:val="555"/>
              </w:trPr>
              <w:tc>
                <w:tcPr>
                  <w:tcW w:w="392" w:type="dxa"/>
                  <w:vMerge/>
                </w:tcPr>
                <w:p w:rsidR="000A29B0" w:rsidRPr="007020C2" w:rsidRDefault="000A29B0" w:rsidP="007E35EB">
                  <w:pPr>
                    <w:spacing w:line="240" w:lineRule="auto"/>
                    <w:rPr>
                      <w:sz w:val="22"/>
                      <w:szCs w:val="22"/>
                    </w:rPr>
                  </w:pPr>
                </w:p>
              </w:tc>
              <w:tc>
                <w:tcPr>
                  <w:tcW w:w="450" w:type="dxa"/>
                </w:tcPr>
                <w:p w:rsidR="000A29B0" w:rsidRPr="007020C2" w:rsidRDefault="000A29B0" w:rsidP="007E35EB">
                  <w:pPr>
                    <w:spacing w:line="240" w:lineRule="auto"/>
                    <w:rPr>
                      <w:sz w:val="22"/>
                      <w:szCs w:val="22"/>
                    </w:rPr>
                  </w:pPr>
                </w:p>
              </w:tc>
              <w:tc>
                <w:tcPr>
                  <w:tcW w:w="4989" w:type="dxa"/>
                  <w:gridSpan w:val="6"/>
                  <w:vMerge/>
                </w:tcPr>
                <w:p w:rsidR="000A29B0" w:rsidRPr="007020C2" w:rsidRDefault="000A29B0" w:rsidP="007E35EB">
                  <w:pPr>
                    <w:spacing w:line="240" w:lineRule="auto"/>
                    <w:rPr>
                      <w:sz w:val="22"/>
                      <w:szCs w:val="22"/>
                    </w:rPr>
                  </w:pPr>
                </w:p>
              </w:tc>
              <w:tc>
                <w:tcPr>
                  <w:tcW w:w="420" w:type="dxa"/>
                  <w:vMerge/>
                  <w:shd w:val="clear" w:color="auto" w:fill="D9D9D9" w:themeFill="background1" w:themeFillShade="D9"/>
                </w:tcPr>
                <w:p w:rsidR="000A29B0" w:rsidRPr="007020C2" w:rsidRDefault="000A29B0" w:rsidP="007E35EB">
                  <w:pPr>
                    <w:spacing w:line="240" w:lineRule="auto"/>
                    <w:rPr>
                      <w:sz w:val="22"/>
                      <w:szCs w:val="22"/>
                    </w:rPr>
                  </w:pPr>
                </w:p>
              </w:tc>
              <w:tc>
                <w:tcPr>
                  <w:tcW w:w="236" w:type="dxa"/>
                  <w:vMerge/>
                </w:tcPr>
                <w:p w:rsidR="000A29B0" w:rsidRPr="007020C2" w:rsidRDefault="000A29B0" w:rsidP="007E35EB">
                  <w:pPr>
                    <w:spacing w:line="240" w:lineRule="auto"/>
                    <w:rPr>
                      <w:sz w:val="22"/>
                      <w:szCs w:val="22"/>
                    </w:rPr>
                  </w:pPr>
                </w:p>
              </w:tc>
            </w:tr>
            <w:tr w:rsidR="000A29B0" w:rsidRPr="007020C2" w:rsidTr="007E35EB">
              <w:trPr>
                <w:trHeight w:val="555"/>
              </w:trPr>
              <w:tc>
                <w:tcPr>
                  <w:tcW w:w="392" w:type="dxa"/>
                  <w:vMerge/>
                </w:tcPr>
                <w:p w:rsidR="000A29B0" w:rsidRPr="007020C2" w:rsidRDefault="000A29B0" w:rsidP="007E35EB">
                  <w:pPr>
                    <w:spacing w:line="240" w:lineRule="auto"/>
                    <w:rPr>
                      <w:sz w:val="22"/>
                      <w:szCs w:val="22"/>
                    </w:rPr>
                  </w:pPr>
                </w:p>
              </w:tc>
              <w:tc>
                <w:tcPr>
                  <w:tcW w:w="450" w:type="dxa"/>
                  <w:shd w:val="clear" w:color="auto" w:fill="D9D9D9" w:themeFill="background1" w:themeFillShade="D9"/>
                </w:tcPr>
                <w:p w:rsidR="000A29B0" w:rsidRPr="007020C2" w:rsidRDefault="000A29B0" w:rsidP="007E35EB">
                  <w:pPr>
                    <w:spacing w:line="240" w:lineRule="auto"/>
                    <w:rPr>
                      <w:sz w:val="22"/>
                      <w:szCs w:val="22"/>
                    </w:rPr>
                  </w:pPr>
                </w:p>
              </w:tc>
              <w:tc>
                <w:tcPr>
                  <w:tcW w:w="4989" w:type="dxa"/>
                  <w:gridSpan w:val="6"/>
                  <w:vMerge/>
                </w:tcPr>
                <w:p w:rsidR="000A29B0" w:rsidRPr="007020C2" w:rsidRDefault="000A29B0" w:rsidP="007E35EB">
                  <w:pPr>
                    <w:spacing w:line="240" w:lineRule="auto"/>
                    <w:rPr>
                      <w:sz w:val="22"/>
                      <w:szCs w:val="22"/>
                    </w:rPr>
                  </w:pPr>
                </w:p>
              </w:tc>
              <w:tc>
                <w:tcPr>
                  <w:tcW w:w="420" w:type="dxa"/>
                </w:tcPr>
                <w:p w:rsidR="000A29B0" w:rsidRPr="007020C2" w:rsidRDefault="000A29B0" w:rsidP="007E35EB">
                  <w:pPr>
                    <w:spacing w:line="240" w:lineRule="auto"/>
                    <w:rPr>
                      <w:sz w:val="22"/>
                      <w:szCs w:val="22"/>
                    </w:rPr>
                  </w:pPr>
                </w:p>
              </w:tc>
              <w:tc>
                <w:tcPr>
                  <w:tcW w:w="236" w:type="dxa"/>
                  <w:vMerge/>
                </w:tcPr>
                <w:p w:rsidR="000A29B0" w:rsidRPr="007020C2" w:rsidRDefault="000A29B0" w:rsidP="007E35EB">
                  <w:pPr>
                    <w:spacing w:line="240" w:lineRule="auto"/>
                    <w:rPr>
                      <w:sz w:val="22"/>
                      <w:szCs w:val="22"/>
                    </w:rPr>
                  </w:pPr>
                </w:p>
              </w:tc>
            </w:tr>
            <w:tr w:rsidR="000A29B0" w:rsidRPr="007020C2" w:rsidTr="007E35EB">
              <w:trPr>
                <w:trHeight w:val="465"/>
              </w:trPr>
              <w:tc>
                <w:tcPr>
                  <w:tcW w:w="392" w:type="dxa"/>
                  <w:vMerge/>
                </w:tcPr>
                <w:p w:rsidR="000A29B0" w:rsidRPr="007020C2" w:rsidRDefault="000A29B0" w:rsidP="007E35EB">
                  <w:pPr>
                    <w:spacing w:line="240" w:lineRule="auto"/>
                    <w:rPr>
                      <w:sz w:val="22"/>
                      <w:szCs w:val="22"/>
                    </w:rPr>
                  </w:pPr>
                </w:p>
              </w:tc>
              <w:tc>
                <w:tcPr>
                  <w:tcW w:w="1275" w:type="dxa"/>
                  <w:gridSpan w:val="2"/>
                  <w:shd w:val="clear" w:color="auto" w:fill="D9D9D9" w:themeFill="background1" w:themeFillShade="D9"/>
                </w:tcPr>
                <w:p w:rsidR="000A29B0" w:rsidRPr="007020C2" w:rsidRDefault="000A29B0" w:rsidP="007E35EB">
                  <w:pPr>
                    <w:spacing w:line="240" w:lineRule="auto"/>
                    <w:rPr>
                      <w:sz w:val="22"/>
                      <w:szCs w:val="22"/>
                    </w:rPr>
                  </w:pPr>
                </w:p>
              </w:tc>
              <w:tc>
                <w:tcPr>
                  <w:tcW w:w="585" w:type="dxa"/>
                </w:tcPr>
                <w:p w:rsidR="000A29B0" w:rsidRPr="007020C2" w:rsidRDefault="000A29B0" w:rsidP="007E35EB">
                  <w:pPr>
                    <w:spacing w:line="240" w:lineRule="auto"/>
                    <w:rPr>
                      <w:sz w:val="22"/>
                      <w:szCs w:val="22"/>
                    </w:rPr>
                  </w:pPr>
                </w:p>
              </w:tc>
              <w:tc>
                <w:tcPr>
                  <w:tcW w:w="1590" w:type="dxa"/>
                  <w:shd w:val="clear" w:color="auto" w:fill="D9D9D9" w:themeFill="background1" w:themeFillShade="D9"/>
                </w:tcPr>
                <w:p w:rsidR="000A29B0" w:rsidRPr="007020C2" w:rsidRDefault="000A29B0" w:rsidP="007E35EB">
                  <w:pPr>
                    <w:spacing w:line="240" w:lineRule="auto"/>
                    <w:rPr>
                      <w:sz w:val="22"/>
                      <w:szCs w:val="22"/>
                    </w:rPr>
                  </w:pPr>
                </w:p>
              </w:tc>
              <w:tc>
                <w:tcPr>
                  <w:tcW w:w="405" w:type="dxa"/>
                </w:tcPr>
                <w:p w:rsidR="000A29B0" w:rsidRPr="007020C2" w:rsidRDefault="000A29B0" w:rsidP="007E35EB">
                  <w:pPr>
                    <w:spacing w:line="240" w:lineRule="auto"/>
                    <w:rPr>
                      <w:sz w:val="22"/>
                      <w:szCs w:val="22"/>
                    </w:rPr>
                  </w:pPr>
                </w:p>
              </w:tc>
              <w:tc>
                <w:tcPr>
                  <w:tcW w:w="2004" w:type="dxa"/>
                  <w:gridSpan w:val="3"/>
                  <w:shd w:val="clear" w:color="auto" w:fill="D9D9D9" w:themeFill="background1" w:themeFillShade="D9"/>
                </w:tcPr>
                <w:p w:rsidR="000A29B0" w:rsidRPr="007020C2" w:rsidRDefault="000A29B0" w:rsidP="007E35EB">
                  <w:pPr>
                    <w:spacing w:line="240" w:lineRule="auto"/>
                    <w:rPr>
                      <w:sz w:val="22"/>
                      <w:szCs w:val="22"/>
                    </w:rPr>
                  </w:pPr>
                </w:p>
              </w:tc>
              <w:tc>
                <w:tcPr>
                  <w:tcW w:w="236" w:type="dxa"/>
                  <w:vMerge/>
                </w:tcPr>
                <w:p w:rsidR="000A29B0" w:rsidRPr="007020C2" w:rsidRDefault="000A29B0" w:rsidP="007E35EB">
                  <w:pPr>
                    <w:spacing w:line="240" w:lineRule="auto"/>
                    <w:rPr>
                      <w:sz w:val="22"/>
                      <w:szCs w:val="22"/>
                    </w:rPr>
                  </w:pPr>
                </w:p>
              </w:tc>
            </w:tr>
            <w:tr w:rsidR="000A29B0" w:rsidRPr="007020C2" w:rsidTr="007E35EB">
              <w:trPr>
                <w:trHeight w:val="269"/>
              </w:trPr>
              <w:tc>
                <w:tcPr>
                  <w:tcW w:w="392" w:type="dxa"/>
                </w:tcPr>
                <w:p w:rsidR="000A29B0" w:rsidRPr="007020C2" w:rsidRDefault="000A29B0" w:rsidP="007E35EB">
                  <w:pPr>
                    <w:spacing w:line="240" w:lineRule="auto"/>
                    <w:rPr>
                      <w:sz w:val="22"/>
                      <w:szCs w:val="22"/>
                    </w:rPr>
                  </w:pPr>
                </w:p>
              </w:tc>
              <w:tc>
                <w:tcPr>
                  <w:tcW w:w="5859" w:type="dxa"/>
                  <w:gridSpan w:val="8"/>
                </w:tcPr>
                <w:p w:rsidR="000A29B0" w:rsidRPr="007020C2" w:rsidRDefault="000A29B0" w:rsidP="007E35EB">
                  <w:pPr>
                    <w:spacing w:line="240" w:lineRule="auto"/>
                    <w:rPr>
                      <w:sz w:val="22"/>
                      <w:szCs w:val="22"/>
                    </w:rPr>
                  </w:pPr>
                </w:p>
              </w:tc>
              <w:tc>
                <w:tcPr>
                  <w:tcW w:w="236" w:type="dxa"/>
                </w:tcPr>
                <w:p w:rsidR="000A29B0" w:rsidRPr="007020C2" w:rsidRDefault="000A29B0" w:rsidP="007E35EB">
                  <w:pPr>
                    <w:spacing w:line="240" w:lineRule="auto"/>
                    <w:rPr>
                      <w:sz w:val="22"/>
                      <w:szCs w:val="22"/>
                    </w:rPr>
                  </w:pPr>
                </w:p>
              </w:tc>
            </w:tr>
          </w:tbl>
          <w:p w:rsidR="000A29B0" w:rsidRPr="007020C2" w:rsidRDefault="000A29B0" w:rsidP="000A29B0">
            <w:pPr>
              <w:spacing w:line="240" w:lineRule="auto"/>
              <w:ind w:left="34" w:firstLine="3118"/>
              <w:rPr>
                <w:rFonts w:ascii="Times New Roman" w:hAnsi="Times New Roman" w:cs="Times New Roman"/>
              </w:rPr>
            </w:pPr>
            <w:r w:rsidRPr="007020C2">
              <w:rPr>
                <w:rFonts w:ascii="Times New Roman" w:hAnsi="Times New Roman" w:cs="Times New Roman"/>
              </w:rPr>
              <w:t>Рис.3</w:t>
            </w:r>
          </w:p>
          <w:p w:rsidR="000A29B0" w:rsidRPr="007020C2" w:rsidRDefault="000A29B0" w:rsidP="00E0767B">
            <w:pPr>
              <w:spacing w:line="240" w:lineRule="auto"/>
              <w:ind w:left="34" w:firstLine="459"/>
              <w:jc w:val="both"/>
              <w:rPr>
                <w:rFonts w:ascii="Times New Roman" w:hAnsi="Times New Roman" w:cs="Times New Roman"/>
                <w:bCs/>
              </w:rPr>
            </w:pPr>
            <w:r w:rsidRPr="007020C2">
              <w:rPr>
                <w:rFonts w:ascii="Times New Roman" w:hAnsi="Times New Roman" w:cs="Times New Roman"/>
              </w:rPr>
              <w:t xml:space="preserve">В случае несплошной периметральной застройки, изображенной на рисунке 3, разрывы между домами и отступы от границ квартала учитывается </w:t>
            </w:r>
            <w:r w:rsidRPr="007020C2">
              <w:rPr>
                <w:rFonts w:ascii="Times New Roman" w:hAnsi="Times New Roman" w:cs="Times New Roman"/>
                <w:bCs/>
              </w:rPr>
              <w:t xml:space="preserve">коэффициент непрерывности застройки </w:t>
            </w:r>
            <w:r w:rsidRPr="007020C2">
              <w:rPr>
                <w:rFonts w:ascii="Times New Roman" w:hAnsi="Times New Roman" w:cs="Times New Roman"/>
              </w:rPr>
              <w:t>Кп </w:t>
            </w:r>
            <w:r w:rsidRPr="007020C2">
              <w:rPr>
                <w:rFonts w:ascii="Times New Roman" w:hAnsi="Times New Roman" w:cs="Times New Roman"/>
                <w:bCs/>
              </w:rPr>
              <w:t xml:space="preserve">≤ 1, соответствующим отношению суммы длин зданий, расположенных с отступами и разрывами, к сумме длин зданий в случае сплошной периметральной застройки. </w:t>
            </w:r>
          </w:p>
          <w:p w:rsidR="000A29B0" w:rsidRPr="007020C2" w:rsidRDefault="000A29B0" w:rsidP="00E0767B">
            <w:pPr>
              <w:spacing w:after="100" w:line="240" w:lineRule="auto"/>
              <w:ind w:left="34" w:firstLine="459"/>
              <w:jc w:val="both"/>
              <w:rPr>
                <w:rFonts w:ascii="Times New Roman" w:hAnsi="Times New Roman" w:cs="Times New Roman"/>
                <w:bCs/>
              </w:rPr>
            </w:pPr>
            <w:r w:rsidRPr="007020C2">
              <w:rPr>
                <w:rFonts w:ascii="Times New Roman" w:hAnsi="Times New Roman" w:cs="Times New Roman"/>
                <w:bCs/>
                <w:lang w:val="en-US"/>
              </w:rPr>
              <w:t>S</w:t>
            </w:r>
            <w:r w:rsidRPr="007020C2">
              <w:rPr>
                <w:rFonts w:ascii="Times New Roman" w:hAnsi="Times New Roman" w:cs="Times New Roman"/>
                <w:bCs/>
              </w:rPr>
              <w:t xml:space="preserve">з = </w:t>
            </w:r>
            <w:r w:rsidRPr="007020C2">
              <w:rPr>
                <w:rFonts w:ascii="Times New Roman" w:hAnsi="Times New Roman" w:cs="Times New Roman"/>
              </w:rPr>
              <w:t>2</w:t>
            </w:r>
            <w:r w:rsidRPr="007020C2">
              <w:rPr>
                <w:rFonts w:ascii="Times New Roman" w:hAnsi="Times New Roman" w:cs="Times New Roman"/>
                <w:bCs/>
              </w:rPr>
              <w:t>×</w:t>
            </w:r>
            <w:r w:rsidRPr="007020C2">
              <w:rPr>
                <w:rFonts w:ascii="Times New Roman" w:hAnsi="Times New Roman" w:cs="Times New Roman"/>
                <w:lang w:val="en-US"/>
              </w:rPr>
              <w:t>h</w:t>
            </w:r>
            <w:r w:rsidRPr="007020C2">
              <w:rPr>
                <w:rFonts w:ascii="Times New Roman" w:hAnsi="Times New Roman" w:cs="Times New Roman"/>
                <w:bCs/>
              </w:rPr>
              <w:t xml:space="preserve"> ×</w:t>
            </w:r>
            <w:r w:rsidRPr="007020C2">
              <w:rPr>
                <w:rFonts w:ascii="Times New Roman" w:hAnsi="Times New Roman" w:cs="Times New Roman"/>
              </w:rPr>
              <w:t xml:space="preserve"> Кп</w:t>
            </w:r>
            <w:r w:rsidRPr="007020C2">
              <w:rPr>
                <w:rFonts w:ascii="Times New Roman" w:hAnsi="Times New Roman" w:cs="Times New Roman"/>
                <w:bCs/>
              </w:rPr>
              <w:t xml:space="preserve"> ×(1+ </w:t>
            </w:r>
            <w:r w:rsidRPr="007020C2">
              <w:rPr>
                <w:rFonts w:ascii="Times New Roman" w:hAnsi="Times New Roman" w:cs="Times New Roman"/>
                <w:bCs/>
                <w:lang w:val="en-US"/>
              </w:rPr>
              <w:t>r</w:t>
            </w:r>
            <w:r w:rsidRPr="007020C2">
              <w:rPr>
                <w:rFonts w:ascii="Times New Roman" w:hAnsi="Times New Roman" w:cs="Times New Roman"/>
                <w:bCs/>
              </w:rPr>
              <w:t xml:space="preserve">) × </w:t>
            </w:r>
            <w:r w:rsidRPr="007020C2">
              <w:rPr>
                <w:rFonts w:ascii="Times New Roman" w:hAnsi="Times New Roman" w:cs="Times New Roman"/>
                <w:bCs/>
                <w:lang w:val="en-US"/>
              </w:rPr>
              <w:t>X</w:t>
            </w:r>
            <w:r w:rsidR="00AE7596" w:rsidRPr="007020C2">
              <w:rPr>
                <w:rFonts w:ascii="Times New Roman" w:hAnsi="Times New Roman" w:cs="Times New Roman"/>
                <w:bCs/>
              </w:rPr>
              <w:t>–</w:t>
            </w:r>
            <w:r w:rsidRPr="007020C2">
              <w:rPr>
                <w:rFonts w:ascii="Times New Roman" w:hAnsi="Times New Roman" w:cs="Times New Roman"/>
                <w:bCs/>
              </w:rPr>
              <w:t xml:space="preserve"> 4×</w:t>
            </w:r>
            <w:r w:rsidRPr="007020C2">
              <w:rPr>
                <w:rFonts w:ascii="Times New Roman" w:hAnsi="Times New Roman" w:cs="Times New Roman"/>
              </w:rPr>
              <w:t xml:space="preserve"> Кп</w:t>
            </w:r>
            <w:r w:rsidRPr="007020C2">
              <w:rPr>
                <w:rFonts w:ascii="Times New Roman" w:hAnsi="Times New Roman" w:cs="Times New Roman"/>
                <w:bCs/>
              </w:rPr>
              <w:t xml:space="preserve"> ×</w:t>
            </w:r>
            <w:r w:rsidRPr="007020C2">
              <w:rPr>
                <w:rFonts w:ascii="Times New Roman" w:hAnsi="Times New Roman" w:cs="Times New Roman"/>
                <w:lang w:val="en-US"/>
              </w:rPr>
              <w:t>h</w:t>
            </w:r>
            <w:r w:rsidRPr="007020C2">
              <w:rPr>
                <w:rFonts w:ascii="Times New Roman" w:hAnsi="Times New Roman" w:cs="Times New Roman"/>
                <w:vertAlign w:val="superscript"/>
              </w:rPr>
              <w:t>2</w:t>
            </w:r>
            <w:r w:rsidRPr="007020C2">
              <w:rPr>
                <w:rFonts w:ascii="Times New Roman" w:hAnsi="Times New Roman" w:cs="Times New Roman"/>
                <w:bCs/>
              </w:rPr>
              <w:t>.</w:t>
            </w:r>
          </w:p>
          <w:p w:rsidR="000A29B0" w:rsidRPr="007020C2" w:rsidRDefault="000A29B0" w:rsidP="00E0767B">
            <w:pPr>
              <w:spacing w:after="100" w:line="240" w:lineRule="auto"/>
              <w:ind w:left="34" w:firstLine="459"/>
              <w:jc w:val="both"/>
              <w:rPr>
                <w:rFonts w:ascii="Times New Roman" w:hAnsi="Times New Roman" w:cs="Times New Roman"/>
              </w:rPr>
            </w:pPr>
            <w:r w:rsidRPr="007020C2">
              <w:rPr>
                <w:rFonts w:ascii="Times New Roman" w:hAnsi="Times New Roman" w:cs="Times New Roman"/>
              </w:rPr>
              <w:t xml:space="preserve">Вместе с тем, площадь застройки </w:t>
            </w:r>
            <w:r w:rsidRPr="007020C2">
              <w:rPr>
                <w:rFonts w:ascii="Times New Roman" w:hAnsi="Times New Roman" w:cs="Times New Roman"/>
                <w:bCs/>
              </w:rPr>
              <w:t>Sз зависит от площади квартала Sкв и максимального коэффициента застройки Кз</w:t>
            </w:r>
            <w:r w:rsidRPr="007020C2">
              <w:rPr>
                <w:rFonts w:ascii="Times New Roman" w:hAnsi="Times New Roman" w:cs="Times New Roman"/>
                <w:bCs/>
                <w:vertAlign w:val="superscript"/>
                <w:lang w:val="en-US"/>
              </w:rPr>
              <w:t>max</w:t>
            </w:r>
            <w:r w:rsidRPr="007020C2">
              <w:rPr>
                <w:rFonts w:ascii="Times New Roman" w:hAnsi="Times New Roman" w:cs="Times New Roman"/>
              </w:rPr>
              <w:t>:</w:t>
            </w:r>
          </w:p>
          <w:p w:rsidR="000A29B0" w:rsidRPr="007020C2" w:rsidRDefault="000A29B0" w:rsidP="00E0767B">
            <w:pPr>
              <w:spacing w:after="100" w:line="240" w:lineRule="auto"/>
              <w:ind w:left="34" w:firstLine="459"/>
              <w:jc w:val="both"/>
              <w:rPr>
                <w:rFonts w:ascii="Times New Roman" w:hAnsi="Times New Roman" w:cs="Times New Roman"/>
                <w:bCs/>
              </w:rPr>
            </w:pPr>
            <w:r w:rsidRPr="007020C2">
              <w:rPr>
                <w:rFonts w:ascii="Times New Roman" w:hAnsi="Times New Roman" w:cs="Times New Roman"/>
                <w:bCs/>
              </w:rPr>
              <w:t>Sз = (Кз</w:t>
            </w:r>
            <w:r w:rsidRPr="007020C2">
              <w:rPr>
                <w:rFonts w:ascii="Times New Roman" w:hAnsi="Times New Roman" w:cs="Times New Roman"/>
                <w:bCs/>
                <w:vertAlign w:val="superscript"/>
                <w:lang w:val="en-US"/>
              </w:rPr>
              <w:t>max</w:t>
            </w:r>
            <w:r w:rsidRPr="007020C2">
              <w:rPr>
                <w:rFonts w:ascii="Times New Roman" w:hAnsi="Times New Roman" w:cs="Times New Roman"/>
              </w:rPr>
              <w:t>/100%)</w:t>
            </w:r>
            <w:r w:rsidRPr="007020C2">
              <w:rPr>
                <w:rFonts w:ascii="Times New Roman" w:hAnsi="Times New Roman" w:cs="Times New Roman"/>
                <w:bCs/>
              </w:rPr>
              <w:t xml:space="preserve"> × Sкв = (Кз</w:t>
            </w:r>
            <w:r w:rsidRPr="007020C2">
              <w:rPr>
                <w:rFonts w:ascii="Times New Roman" w:hAnsi="Times New Roman" w:cs="Times New Roman"/>
                <w:bCs/>
                <w:vertAlign w:val="superscript"/>
                <w:lang w:val="en-US"/>
              </w:rPr>
              <w:t>max</w:t>
            </w:r>
            <w:r w:rsidRPr="007020C2">
              <w:rPr>
                <w:rFonts w:ascii="Times New Roman" w:hAnsi="Times New Roman" w:cs="Times New Roman"/>
              </w:rPr>
              <w:t>/100%)</w:t>
            </w:r>
            <w:r w:rsidRPr="007020C2">
              <w:rPr>
                <w:rFonts w:ascii="Times New Roman" w:hAnsi="Times New Roman" w:cs="Times New Roman"/>
                <w:bCs/>
              </w:rPr>
              <w:t xml:space="preserve"> × (X×Y) =</w:t>
            </w:r>
          </w:p>
          <w:p w:rsidR="000A29B0" w:rsidRPr="007020C2" w:rsidRDefault="000A29B0" w:rsidP="00E0767B">
            <w:pPr>
              <w:spacing w:after="100" w:line="240" w:lineRule="auto"/>
              <w:ind w:left="34" w:firstLine="459"/>
              <w:jc w:val="both"/>
              <w:rPr>
                <w:rFonts w:ascii="Times New Roman" w:hAnsi="Times New Roman" w:cs="Times New Roman"/>
                <w:bCs/>
              </w:rPr>
            </w:pPr>
            <w:r w:rsidRPr="007020C2">
              <w:rPr>
                <w:rFonts w:ascii="Times New Roman" w:hAnsi="Times New Roman" w:cs="Times New Roman"/>
                <w:bCs/>
              </w:rPr>
              <w:lastRenderedPageBreak/>
              <w:t xml:space="preserve"> (Кз</w:t>
            </w:r>
            <w:r w:rsidRPr="007020C2">
              <w:rPr>
                <w:rFonts w:ascii="Times New Roman" w:hAnsi="Times New Roman" w:cs="Times New Roman"/>
                <w:bCs/>
                <w:vertAlign w:val="superscript"/>
                <w:lang w:val="en-US"/>
              </w:rPr>
              <w:t>max</w:t>
            </w:r>
            <w:r w:rsidRPr="007020C2">
              <w:rPr>
                <w:rFonts w:ascii="Times New Roman" w:hAnsi="Times New Roman" w:cs="Times New Roman"/>
              </w:rPr>
              <w:t>/100%)</w:t>
            </w:r>
            <w:r w:rsidRPr="007020C2">
              <w:rPr>
                <w:rFonts w:ascii="Times New Roman" w:hAnsi="Times New Roman" w:cs="Times New Roman"/>
                <w:bCs/>
              </w:rPr>
              <w:t xml:space="preserve"> × (</w:t>
            </w:r>
            <w:r w:rsidRPr="007020C2">
              <w:rPr>
                <w:rFonts w:ascii="Times New Roman" w:hAnsi="Times New Roman" w:cs="Times New Roman"/>
                <w:bCs/>
                <w:lang w:val="en-US"/>
              </w:rPr>
              <w:t>X</w:t>
            </w:r>
            <w:r w:rsidRPr="007020C2">
              <w:rPr>
                <w:rFonts w:ascii="Times New Roman" w:hAnsi="Times New Roman" w:cs="Times New Roman"/>
                <w:bCs/>
              </w:rPr>
              <w:t xml:space="preserve">× </w:t>
            </w:r>
            <w:r w:rsidRPr="007020C2">
              <w:rPr>
                <w:rFonts w:ascii="Times New Roman" w:hAnsi="Times New Roman" w:cs="Times New Roman"/>
                <w:bCs/>
                <w:lang w:val="en-US"/>
              </w:rPr>
              <w:t>r</w:t>
            </w:r>
            <w:r w:rsidRPr="007020C2">
              <w:rPr>
                <w:rFonts w:ascii="Times New Roman" w:hAnsi="Times New Roman" w:cs="Times New Roman"/>
                <w:bCs/>
              </w:rPr>
              <w:t xml:space="preserve"> × </w:t>
            </w:r>
            <w:r w:rsidRPr="007020C2">
              <w:rPr>
                <w:rFonts w:ascii="Times New Roman" w:hAnsi="Times New Roman" w:cs="Times New Roman"/>
                <w:bCs/>
                <w:lang w:val="en-US"/>
              </w:rPr>
              <w:t>X</w:t>
            </w:r>
            <w:r w:rsidRPr="007020C2">
              <w:rPr>
                <w:rFonts w:ascii="Times New Roman" w:hAnsi="Times New Roman" w:cs="Times New Roman"/>
                <w:bCs/>
              </w:rPr>
              <w:t>) = (Кз</w:t>
            </w:r>
            <w:r w:rsidRPr="007020C2">
              <w:rPr>
                <w:rFonts w:ascii="Times New Roman" w:hAnsi="Times New Roman" w:cs="Times New Roman"/>
                <w:bCs/>
                <w:vertAlign w:val="superscript"/>
                <w:lang w:val="en-US"/>
              </w:rPr>
              <w:t>max</w:t>
            </w:r>
            <w:r w:rsidRPr="007020C2">
              <w:rPr>
                <w:rFonts w:ascii="Times New Roman" w:hAnsi="Times New Roman" w:cs="Times New Roman"/>
              </w:rPr>
              <w:t>/100%)</w:t>
            </w:r>
            <w:r w:rsidRPr="007020C2">
              <w:rPr>
                <w:rFonts w:ascii="Times New Roman" w:hAnsi="Times New Roman" w:cs="Times New Roman"/>
                <w:bCs/>
              </w:rPr>
              <w:t xml:space="preserve"> × </w:t>
            </w:r>
            <w:r w:rsidRPr="007020C2">
              <w:rPr>
                <w:rFonts w:ascii="Times New Roman" w:hAnsi="Times New Roman" w:cs="Times New Roman"/>
                <w:bCs/>
                <w:lang w:val="en-US"/>
              </w:rPr>
              <w:t>r</w:t>
            </w:r>
            <w:r w:rsidRPr="007020C2">
              <w:rPr>
                <w:rFonts w:ascii="Times New Roman" w:hAnsi="Times New Roman" w:cs="Times New Roman"/>
                <w:bCs/>
              </w:rPr>
              <w:t xml:space="preserve"> × </w:t>
            </w:r>
            <w:r w:rsidRPr="007020C2">
              <w:rPr>
                <w:rFonts w:ascii="Times New Roman" w:hAnsi="Times New Roman" w:cs="Times New Roman"/>
                <w:bCs/>
                <w:lang w:val="en-US"/>
              </w:rPr>
              <w:t>X</w:t>
            </w:r>
            <w:r w:rsidRPr="007020C2">
              <w:rPr>
                <w:rFonts w:ascii="Times New Roman" w:hAnsi="Times New Roman" w:cs="Times New Roman"/>
                <w:bCs/>
                <w:vertAlign w:val="superscript"/>
              </w:rPr>
              <w:t>2</w:t>
            </w:r>
            <w:r w:rsidRPr="007020C2">
              <w:rPr>
                <w:rFonts w:ascii="Times New Roman" w:hAnsi="Times New Roman" w:cs="Times New Roman"/>
                <w:bCs/>
              </w:rPr>
              <w:t>.</w:t>
            </w:r>
          </w:p>
          <w:p w:rsidR="000A29B0" w:rsidRPr="007020C2" w:rsidRDefault="000A29B0" w:rsidP="00E0767B">
            <w:pPr>
              <w:spacing w:after="100" w:line="240" w:lineRule="auto"/>
              <w:ind w:left="34" w:firstLine="425"/>
              <w:jc w:val="both"/>
              <w:rPr>
                <w:rFonts w:ascii="Times New Roman" w:hAnsi="Times New Roman" w:cs="Times New Roman"/>
                <w:bCs/>
              </w:rPr>
            </w:pPr>
            <w:r w:rsidRPr="007020C2">
              <w:rPr>
                <w:rFonts w:ascii="Times New Roman" w:hAnsi="Times New Roman" w:cs="Times New Roman"/>
                <w:bCs/>
              </w:rPr>
              <w:t xml:space="preserve">В результате приравнивания обоих выражений для </w:t>
            </w:r>
            <w:r w:rsidRPr="007020C2">
              <w:rPr>
                <w:rFonts w:ascii="Times New Roman" w:hAnsi="Times New Roman" w:cs="Times New Roman"/>
                <w:bCs/>
                <w:lang w:val="en-US"/>
              </w:rPr>
              <w:t>S</w:t>
            </w:r>
            <w:r w:rsidRPr="007020C2">
              <w:rPr>
                <w:rFonts w:ascii="Times New Roman" w:hAnsi="Times New Roman" w:cs="Times New Roman"/>
                <w:bCs/>
              </w:rPr>
              <w:t xml:space="preserve">з получается квадратное уравнение относительно </w:t>
            </w:r>
            <w:r w:rsidRPr="007020C2">
              <w:rPr>
                <w:rFonts w:ascii="Times New Roman" w:hAnsi="Times New Roman" w:cs="Times New Roman"/>
                <w:bCs/>
                <w:lang w:val="en-US"/>
              </w:rPr>
              <w:t>X</w:t>
            </w:r>
            <w:r w:rsidRPr="007020C2">
              <w:rPr>
                <w:rFonts w:ascii="Times New Roman" w:hAnsi="Times New Roman" w:cs="Times New Roman"/>
                <w:bCs/>
              </w:rPr>
              <w:t>:</w:t>
            </w:r>
          </w:p>
          <w:p w:rsidR="000A29B0" w:rsidRPr="007020C2" w:rsidRDefault="000A29B0" w:rsidP="00E0767B">
            <w:pPr>
              <w:spacing w:after="100" w:line="240" w:lineRule="auto"/>
              <w:ind w:left="34" w:firstLine="425"/>
              <w:jc w:val="both"/>
              <w:rPr>
                <w:rFonts w:ascii="Times New Roman" w:hAnsi="Times New Roman" w:cs="Times New Roman"/>
                <w:bCs/>
              </w:rPr>
            </w:pPr>
            <w:r w:rsidRPr="007020C2">
              <w:rPr>
                <w:rFonts w:ascii="Times New Roman" w:hAnsi="Times New Roman" w:cs="Times New Roman"/>
              </w:rPr>
              <w:t>((</w:t>
            </w:r>
            <w:r w:rsidRPr="007020C2">
              <w:rPr>
                <w:rFonts w:ascii="Times New Roman" w:hAnsi="Times New Roman" w:cs="Times New Roman"/>
                <w:lang w:val="en-US"/>
              </w:rPr>
              <w:t>r</w:t>
            </w:r>
            <w:r w:rsidRPr="007020C2">
              <w:rPr>
                <w:rFonts w:ascii="Times New Roman" w:hAnsi="Times New Roman" w:cs="Times New Roman"/>
                <w:bCs/>
              </w:rPr>
              <w:t>× Кз</w:t>
            </w:r>
            <w:r w:rsidRPr="007020C2">
              <w:rPr>
                <w:rFonts w:ascii="Times New Roman" w:hAnsi="Times New Roman" w:cs="Times New Roman"/>
                <w:bCs/>
                <w:vertAlign w:val="superscript"/>
                <w:lang w:val="en-US"/>
              </w:rPr>
              <w:t>max</w:t>
            </w:r>
            <w:r w:rsidRPr="007020C2">
              <w:rPr>
                <w:rFonts w:ascii="Times New Roman" w:hAnsi="Times New Roman" w:cs="Times New Roman"/>
              </w:rPr>
              <w:t>/100%) / (</w:t>
            </w:r>
            <w:r w:rsidRPr="007020C2">
              <w:rPr>
                <w:rFonts w:ascii="Times New Roman" w:hAnsi="Times New Roman" w:cs="Times New Roman"/>
                <w:lang w:val="en-US"/>
              </w:rPr>
              <w:t>h</w:t>
            </w:r>
            <w:r w:rsidRPr="007020C2">
              <w:rPr>
                <w:rFonts w:ascii="Times New Roman" w:hAnsi="Times New Roman" w:cs="Times New Roman"/>
                <w:bCs/>
              </w:rPr>
              <w:t>×</w:t>
            </w:r>
            <w:r w:rsidRPr="007020C2">
              <w:rPr>
                <w:rFonts w:ascii="Times New Roman" w:hAnsi="Times New Roman" w:cs="Times New Roman"/>
              </w:rPr>
              <w:t xml:space="preserve"> Кп))</w:t>
            </w:r>
            <w:r w:rsidRPr="007020C2">
              <w:rPr>
                <w:rFonts w:ascii="Times New Roman" w:hAnsi="Times New Roman" w:cs="Times New Roman"/>
                <w:bCs/>
              </w:rPr>
              <w:t xml:space="preserve"> × </w:t>
            </w:r>
            <w:r w:rsidRPr="007020C2">
              <w:rPr>
                <w:rFonts w:ascii="Times New Roman" w:hAnsi="Times New Roman" w:cs="Times New Roman"/>
                <w:bCs/>
                <w:lang w:val="en-US"/>
              </w:rPr>
              <w:t>X</w:t>
            </w:r>
            <w:r w:rsidRPr="007020C2">
              <w:rPr>
                <w:rFonts w:ascii="Times New Roman" w:hAnsi="Times New Roman" w:cs="Times New Roman"/>
                <w:bCs/>
                <w:vertAlign w:val="superscript"/>
              </w:rPr>
              <w:t xml:space="preserve">2 </w:t>
            </w:r>
            <w:r w:rsidRPr="007020C2">
              <w:rPr>
                <w:rFonts w:ascii="Times New Roman" w:hAnsi="Times New Roman" w:cs="Times New Roman"/>
                <w:bCs/>
              </w:rPr>
              <w:t xml:space="preserve">– </w:t>
            </w:r>
            <w:r w:rsidRPr="007020C2">
              <w:rPr>
                <w:rFonts w:ascii="Times New Roman" w:hAnsi="Times New Roman" w:cs="Times New Roman"/>
              </w:rPr>
              <w:t>2</w:t>
            </w:r>
            <w:r w:rsidRPr="007020C2">
              <w:rPr>
                <w:rFonts w:ascii="Times New Roman" w:hAnsi="Times New Roman" w:cs="Times New Roman"/>
                <w:bCs/>
              </w:rPr>
              <w:t xml:space="preserve">× (1+ </w:t>
            </w:r>
            <w:r w:rsidRPr="007020C2">
              <w:rPr>
                <w:rFonts w:ascii="Times New Roman" w:hAnsi="Times New Roman" w:cs="Times New Roman"/>
                <w:bCs/>
                <w:lang w:val="en-US"/>
              </w:rPr>
              <w:t>r</w:t>
            </w:r>
            <w:r w:rsidRPr="007020C2">
              <w:rPr>
                <w:rFonts w:ascii="Times New Roman" w:hAnsi="Times New Roman" w:cs="Times New Roman"/>
                <w:bCs/>
              </w:rPr>
              <w:t xml:space="preserve">) × </w:t>
            </w:r>
            <w:r w:rsidRPr="007020C2">
              <w:rPr>
                <w:rFonts w:ascii="Times New Roman" w:hAnsi="Times New Roman" w:cs="Times New Roman"/>
                <w:bCs/>
                <w:lang w:val="en-US"/>
              </w:rPr>
              <w:t>X</w:t>
            </w:r>
            <w:r w:rsidRPr="007020C2">
              <w:rPr>
                <w:rFonts w:ascii="Times New Roman" w:hAnsi="Times New Roman" w:cs="Times New Roman"/>
                <w:bCs/>
              </w:rPr>
              <w:t xml:space="preserve"> + 4×</w:t>
            </w:r>
            <w:r w:rsidRPr="007020C2">
              <w:rPr>
                <w:rFonts w:ascii="Times New Roman" w:hAnsi="Times New Roman" w:cs="Times New Roman"/>
                <w:lang w:val="en-US"/>
              </w:rPr>
              <w:t>h</w:t>
            </w:r>
            <w:r w:rsidRPr="007020C2">
              <w:rPr>
                <w:rFonts w:ascii="Times New Roman" w:hAnsi="Times New Roman" w:cs="Times New Roman"/>
                <w:bCs/>
              </w:rPr>
              <w:t>= 0,</w:t>
            </w:r>
          </w:p>
          <w:p w:rsidR="000A29B0" w:rsidRPr="007020C2" w:rsidRDefault="000A29B0" w:rsidP="00E0767B">
            <w:pPr>
              <w:spacing w:after="100" w:line="240" w:lineRule="auto"/>
              <w:ind w:firstLine="567"/>
              <w:jc w:val="both"/>
              <w:rPr>
                <w:rFonts w:ascii="Times New Roman" w:hAnsi="Times New Roman" w:cs="Times New Roman"/>
                <w:bCs/>
              </w:rPr>
            </w:pPr>
            <w:r w:rsidRPr="007020C2">
              <w:rPr>
                <w:rFonts w:ascii="Times New Roman" w:hAnsi="Times New Roman" w:cs="Times New Roman"/>
                <w:bCs/>
              </w:rPr>
              <w:t>решение которого определяетсяпо формуле:</w:t>
            </w:r>
          </w:p>
          <w:p w:rsidR="000A29B0" w:rsidRPr="007020C2" w:rsidRDefault="000A29B0" w:rsidP="00E0767B">
            <w:pPr>
              <w:spacing w:after="100" w:line="240" w:lineRule="auto"/>
              <w:ind w:firstLine="567"/>
              <w:jc w:val="both"/>
              <w:rPr>
                <w:rFonts w:ascii="Times New Roman" w:hAnsi="Times New Roman" w:cs="Times New Roman"/>
              </w:rPr>
            </w:pPr>
            <w:r w:rsidRPr="007020C2">
              <w:rPr>
                <w:rFonts w:ascii="Times New Roman" w:hAnsi="Times New Roman" w:cs="Times New Roman"/>
              </w:rPr>
              <w:t xml:space="preserve">Х = ( </w:t>
            </w:r>
            <w:r w:rsidR="00AE7596" w:rsidRPr="007020C2">
              <w:rPr>
                <w:rFonts w:ascii="Times New Roman" w:hAnsi="Times New Roman" w:cs="Times New Roman"/>
              </w:rPr>
              <w:t>–</w:t>
            </w:r>
            <w:r w:rsidRPr="007020C2">
              <w:rPr>
                <w:rFonts w:ascii="Times New Roman" w:hAnsi="Times New Roman" w:cs="Times New Roman"/>
                <w:lang w:val="en-US"/>
              </w:rPr>
              <w:t>b</w:t>
            </w:r>
            <w:r w:rsidRPr="007020C2">
              <w:rPr>
                <w:rFonts w:ascii="Times New Roman" w:hAnsi="Times New Roman" w:cs="Times New Roman"/>
              </w:rPr>
              <w:t xml:space="preserve"> + (в</w:t>
            </w:r>
            <w:r w:rsidRPr="007020C2">
              <w:rPr>
                <w:rFonts w:ascii="Times New Roman" w:hAnsi="Times New Roman" w:cs="Times New Roman"/>
                <w:vertAlign w:val="superscript"/>
              </w:rPr>
              <w:t xml:space="preserve">2 </w:t>
            </w:r>
            <w:r w:rsidRPr="007020C2">
              <w:rPr>
                <w:rFonts w:ascii="Times New Roman" w:hAnsi="Times New Roman" w:cs="Times New Roman"/>
              </w:rPr>
              <w:t xml:space="preserve">– 4 × а × </w:t>
            </w:r>
            <w:r w:rsidRPr="007020C2">
              <w:rPr>
                <w:rFonts w:ascii="Times New Roman" w:hAnsi="Times New Roman" w:cs="Times New Roman"/>
                <w:lang w:val="en-US"/>
              </w:rPr>
              <w:t>c</w:t>
            </w:r>
            <w:r w:rsidRPr="007020C2">
              <w:rPr>
                <w:rFonts w:ascii="Times New Roman" w:hAnsi="Times New Roman" w:cs="Times New Roman"/>
              </w:rPr>
              <w:t>)</w:t>
            </w:r>
            <w:r w:rsidRPr="007020C2">
              <w:rPr>
                <w:rFonts w:ascii="Times New Roman" w:hAnsi="Times New Roman" w:cs="Times New Roman"/>
                <w:vertAlign w:val="superscript"/>
              </w:rPr>
              <w:t>1/2</w:t>
            </w:r>
            <w:r w:rsidRPr="007020C2">
              <w:rPr>
                <w:rFonts w:ascii="Times New Roman" w:hAnsi="Times New Roman" w:cs="Times New Roman"/>
              </w:rPr>
              <w:t>) / (2 × а)</w:t>
            </w:r>
            <w:r w:rsidRPr="007020C2">
              <w:rPr>
                <w:rFonts w:ascii="Times New Roman" w:hAnsi="Times New Roman" w:cs="Times New Roman"/>
                <w:bCs/>
              </w:rPr>
              <w:t>,</w:t>
            </w:r>
          </w:p>
          <w:p w:rsidR="000A29B0" w:rsidRPr="007020C2" w:rsidRDefault="000A29B0" w:rsidP="00E0767B">
            <w:pPr>
              <w:spacing w:after="100" w:line="240" w:lineRule="auto"/>
              <w:ind w:firstLine="567"/>
              <w:jc w:val="both"/>
              <w:rPr>
                <w:rFonts w:ascii="Times New Roman" w:hAnsi="Times New Roman" w:cs="Times New Roman"/>
              </w:rPr>
            </w:pPr>
            <w:r w:rsidRPr="007020C2">
              <w:rPr>
                <w:rFonts w:ascii="Times New Roman" w:hAnsi="Times New Roman" w:cs="Times New Roman"/>
              </w:rPr>
              <w:t>где:   а = (</w:t>
            </w:r>
            <w:r w:rsidRPr="007020C2">
              <w:rPr>
                <w:rFonts w:ascii="Times New Roman" w:hAnsi="Times New Roman" w:cs="Times New Roman"/>
                <w:lang w:val="en-US"/>
              </w:rPr>
              <w:t>r</w:t>
            </w:r>
            <w:r w:rsidRPr="007020C2">
              <w:rPr>
                <w:rFonts w:ascii="Times New Roman" w:hAnsi="Times New Roman" w:cs="Times New Roman"/>
                <w:bCs/>
              </w:rPr>
              <w:t>× Кз</w:t>
            </w:r>
            <w:r w:rsidRPr="007020C2">
              <w:rPr>
                <w:rFonts w:ascii="Times New Roman" w:hAnsi="Times New Roman" w:cs="Times New Roman"/>
                <w:bCs/>
                <w:vertAlign w:val="superscript"/>
                <w:lang w:val="en-US"/>
              </w:rPr>
              <w:t>max</w:t>
            </w:r>
            <w:r w:rsidRPr="007020C2">
              <w:rPr>
                <w:rFonts w:ascii="Times New Roman" w:hAnsi="Times New Roman" w:cs="Times New Roman"/>
              </w:rPr>
              <w:t>/100%) / (</w:t>
            </w:r>
            <w:r w:rsidRPr="007020C2">
              <w:rPr>
                <w:rFonts w:ascii="Times New Roman" w:hAnsi="Times New Roman" w:cs="Times New Roman"/>
                <w:lang w:val="en-US"/>
              </w:rPr>
              <w:t>h</w:t>
            </w:r>
            <w:r w:rsidRPr="007020C2">
              <w:rPr>
                <w:rFonts w:ascii="Times New Roman" w:hAnsi="Times New Roman" w:cs="Times New Roman"/>
                <w:bCs/>
              </w:rPr>
              <w:t>×</w:t>
            </w:r>
            <w:r w:rsidRPr="007020C2">
              <w:rPr>
                <w:rFonts w:ascii="Times New Roman" w:hAnsi="Times New Roman" w:cs="Times New Roman"/>
              </w:rPr>
              <w:t xml:space="preserve"> Кп);</w:t>
            </w:r>
          </w:p>
          <w:p w:rsidR="000A29B0" w:rsidRPr="007020C2" w:rsidRDefault="000A29B0" w:rsidP="00E0767B">
            <w:pPr>
              <w:spacing w:after="100" w:line="240" w:lineRule="auto"/>
              <w:ind w:left="1134"/>
              <w:jc w:val="both"/>
              <w:rPr>
                <w:rFonts w:ascii="Times New Roman" w:hAnsi="Times New Roman" w:cs="Times New Roman"/>
              </w:rPr>
            </w:pPr>
            <w:r w:rsidRPr="007020C2">
              <w:rPr>
                <w:rFonts w:ascii="Times New Roman" w:hAnsi="Times New Roman" w:cs="Times New Roman"/>
                <w:lang w:val="en-US"/>
              </w:rPr>
              <w:t>b</w:t>
            </w:r>
            <w:r w:rsidRPr="007020C2">
              <w:rPr>
                <w:rFonts w:ascii="Times New Roman" w:hAnsi="Times New Roman" w:cs="Times New Roman"/>
              </w:rPr>
              <w:t xml:space="preserve"> = </w:t>
            </w:r>
            <w:r w:rsidR="00AE7596" w:rsidRPr="007020C2">
              <w:rPr>
                <w:rFonts w:ascii="Times New Roman" w:hAnsi="Times New Roman" w:cs="Times New Roman"/>
              </w:rPr>
              <w:t>–</w:t>
            </w:r>
            <w:r w:rsidRPr="007020C2">
              <w:rPr>
                <w:rFonts w:ascii="Times New Roman" w:hAnsi="Times New Roman" w:cs="Times New Roman"/>
              </w:rPr>
              <w:t xml:space="preserve">2 </w:t>
            </w:r>
            <w:r w:rsidRPr="007020C2">
              <w:rPr>
                <w:rFonts w:ascii="Times New Roman" w:hAnsi="Times New Roman" w:cs="Times New Roman"/>
                <w:bCs/>
              </w:rPr>
              <w:t>×</w:t>
            </w:r>
            <w:r w:rsidRPr="007020C2">
              <w:rPr>
                <w:rFonts w:ascii="Times New Roman" w:hAnsi="Times New Roman" w:cs="Times New Roman"/>
              </w:rPr>
              <w:t xml:space="preserve"> (1 + </w:t>
            </w:r>
            <w:r w:rsidRPr="007020C2">
              <w:rPr>
                <w:rFonts w:ascii="Times New Roman" w:hAnsi="Times New Roman" w:cs="Times New Roman"/>
                <w:lang w:val="en-US"/>
              </w:rPr>
              <w:t>r</w:t>
            </w:r>
            <w:r w:rsidRPr="007020C2">
              <w:rPr>
                <w:rFonts w:ascii="Times New Roman" w:hAnsi="Times New Roman" w:cs="Times New Roman"/>
              </w:rPr>
              <w:t>);</w:t>
            </w:r>
          </w:p>
          <w:p w:rsidR="000A29B0" w:rsidRPr="007020C2" w:rsidRDefault="000A29B0" w:rsidP="00E0767B">
            <w:pPr>
              <w:spacing w:after="100" w:line="240" w:lineRule="auto"/>
              <w:ind w:left="1134"/>
              <w:jc w:val="both"/>
              <w:rPr>
                <w:rFonts w:ascii="Times New Roman" w:hAnsi="Times New Roman" w:cs="Times New Roman"/>
              </w:rPr>
            </w:pPr>
            <w:r w:rsidRPr="007020C2">
              <w:rPr>
                <w:rFonts w:ascii="Times New Roman" w:hAnsi="Times New Roman" w:cs="Times New Roman"/>
                <w:lang w:val="en-US"/>
              </w:rPr>
              <w:t>c</w:t>
            </w:r>
            <w:r w:rsidRPr="007020C2">
              <w:rPr>
                <w:rFonts w:ascii="Times New Roman" w:hAnsi="Times New Roman" w:cs="Times New Roman"/>
              </w:rPr>
              <w:t xml:space="preserve"> = 4 </w:t>
            </w:r>
            <w:r w:rsidRPr="007020C2">
              <w:rPr>
                <w:rFonts w:ascii="Times New Roman" w:hAnsi="Times New Roman" w:cs="Times New Roman"/>
                <w:bCs/>
              </w:rPr>
              <w:t xml:space="preserve">× </w:t>
            </w:r>
            <w:r w:rsidRPr="007020C2">
              <w:rPr>
                <w:rFonts w:ascii="Times New Roman" w:hAnsi="Times New Roman" w:cs="Times New Roman"/>
                <w:lang w:val="en-US"/>
              </w:rPr>
              <w:t>h</w:t>
            </w:r>
            <w:r w:rsidRPr="007020C2">
              <w:rPr>
                <w:rFonts w:ascii="Times New Roman" w:hAnsi="Times New Roman" w:cs="Times New Roman"/>
              </w:rPr>
              <w:t>.</w:t>
            </w:r>
          </w:p>
          <w:p w:rsidR="000A29B0" w:rsidRPr="007020C2" w:rsidRDefault="000A29B0" w:rsidP="006B3DE9">
            <w:pPr>
              <w:spacing w:after="0" w:line="240" w:lineRule="auto"/>
              <w:ind w:firstLine="272"/>
              <w:jc w:val="both"/>
              <w:rPr>
                <w:rFonts w:ascii="Times New Roman" w:hAnsi="Times New Roman" w:cs="Times New Roman"/>
                <w:szCs w:val="24"/>
              </w:rPr>
            </w:pPr>
            <w:r w:rsidRPr="007020C2">
              <w:rPr>
                <w:rFonts w:ascii="Times New Roman" w:hAnsi="Times New Roman" w:cs="Times New Roman"/>
                <w:bCs/>
              </w:rPr>
              <w:t>При периметральной застройке минимальная площадь квартала возрастает с увеличением средней ширины зданий, коэффициент непрерывности застройки, и максимального коэффициента застройки (который уменьшается с ростом средней этажности). Площадь квартала при прочих равных условиях увеличивается по мере роста отношения длины к ширине квартала.</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2.1.14</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Проектирование жилых кварталов с площадью не более 3 га, рекомендовано [1] (см. раздел I, подраздел 1, п.1.5).</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2.2.1</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3</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озеленённой территорией в таблице 3 установлена по [1] (см. раздел I, подраздел 5, п.5.17 и таблица № 33). Значения для озеленённых территорий общего пользования установлены по данным строки 9 таблиц №№ 7, 13, 22, 28, 31, 32  [1].</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Минимальная площадь парков установлена в соответствии с [1] (см. раздел I, подраздел 5, п.5.16) и с [3] (см. п. 5.11).</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2.2.3</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Пешеходная доступность бульвара, сквера или парка установлена с учетом [1] (см. раздел I, подраздел 6, п.6.9 и таблица № 34) и [2]  (см. п. 9.9).</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2.2.4</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Доступность зон массового отдыха населения установлена с учетом [2]  (см. п. 9.7) и размеров территории городского округа.</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2.3.1 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5</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Максимальный коэффициент застройки земельного участка в таблице 4 установлена по [1] (см. раздел I, подраздел 2,  п. 2.3 и таблица № 4).</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2.4.3</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таблицы 7, 8 и 9</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17C1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территорией для размещения объектов в таблице 6 установлен в соответствии c [1] (см. раздел I, подраздел 1, п. 5.5 и таблицы №№ 7, 13, 22, 28, 31, 32).</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2.4.7</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Обеспеченность жителей местами в дошкольных образовательных организациях (детских садах) и общеобразовательных организациях (школах), установлена в соответствии с [1] (см. раздел I, подраздел 5, п.5.18).</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Обеспеченность жителей местами площадью торговых объектов, услугами общественного питания, бытовыми услугами  установлена в соответствии с [6] (см. раздел 4).</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Обеспеченность жителей объектами массового спорта (единовременная пропускная способность объектов спорта), спортивными залами, плавательными бассейнами, спортивными плоскостными сооружениями установлена в соответствии с [7] (см. приложение № 4).</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Обеспеченность жителей торговыми объектами местного значения установлена в соответствии с [8].</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17C10">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w:t>
            </w:r>
            <w:r w:rsidR="00F17C10" w:rsidRPr="007020C2">
              <w:rPr>
                <w:rFonts w:ascii="Times New Roman" w:eastAsia="Times New Roman" w:hAnsi="Times New Roman" w:cs="Times New Roman"/>
                <w:lang w:eastAsia="ru-RU"/>
              </w:rPr>
              <w:t>8</w:t>
            </w:r>
          </w:p>
          <w:p w:rsidR="00F17C10" w:rsidRPr="007020C2" w:rsidRDefault="00F17C10" w:rsidP="00C527CC">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w:t>
            </w:r>
            <w:r w:rsidR="00C527CC" w:rsidRPr="007020C2">
              <w:rPr>
                <w:rFonts w:ascii="Times New Roman" w:eastAsia="Times New Roman" w:hAnsi="Times New Roman" w:cs="Times New Roman"/>
                <w:lang w:eastAsia="ru-RU"/>
              </w:rPr>
              <w:t>а</w:t>
            </w:r>
            <w:r w:rsidRPr="007020C2">
              <w:rPr>
                <w:rFonts w:ascii="Times New Roman" w:eastAsia="Times New Roman" w:hAnsi="Times New Roman" w:cs="Times New Roman"/>
                <w:lang w:eastAsia="ru-RU"/>
              </w:rPr>
              <w:t xml:space="preserve"> 12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Предельно допустимые уровни обеспеченности и территориальной доступности муниципальных учреждений культуры и досуга установлены согласно распоряжению Министерства культуры Российской Федерации от 02 августа 2017 г. № Р</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7F430F" w:rsidRPr="007020C2">
              <w:rPr>
                <w:rFonts w:ascii="Times New Roman" w:eastAsia="Times New Roman" w:hAnsi="Times New Roman" w:cs="Times New Roman"/>
                <w:lang w:eastAsia="ru-RU"/>
              </w:rPr>
              <w:t xml:space="preserve">  [10]</w:t>
            </w:r>
            <w:r w:rsidRPr="007020C2">
              <w:rPr>
                <w:rFonts w:ascii="Times New Roman" w:eastAsia="Times New Roman" w:hAnsi="Times New Roman" w:cs="Times New Roman"/>
                <w:lang w:eastAsia="ru-RU"/>
              </w:rPr>
              <w:t>.</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Предельно допустимые уровни обеспеченности и территориальной доступности многофункциональных досуговых центров для детей и молодежи установлены согласно Методическим рекомендациям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утвержденным приказом Федерального агентства по делам молодежи от 13.05.2016 № 167</w:t>
            </w:r>
            <w:r w:rsidR="007F430F" w:rsidRPr="007020C2">
              <w:rPr>
                <w:rFonts w:ascii="Times New Roman" w:eastAsia="Times New Roman" w:hAnsi="Times New Roman" w:cs="Times New Roman"/>
                <w:lang w:eastAsia="ru-RU"/>
              </w:rPr>
              <w:t xml:space="preserve"> [11]</w:t>
            </w:r>
            <w:r w:rsidRPr="007020C2">
              <w:rPr>
                <w:rFonts w:ascii="Times New Roman" w:eastAsia="Times New Roman" w:hAnsi="Times New Roman" w:cs="Times New Roman"/>
                <w:lang w:eastAsia="ru-RU"/>
              </w:rPr>
              <w:t>.</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Транспортная доступность установлена для случая размещения объектов культуры в населенных пунктах, отличных от пункта проживания, исходя из допустимого времени движения до таких населенных пунктов на территории городского округа.</w:t>
            </w:r>
          </w:p>
          <w:p w:rsidR="00F639AF" w:rsidRPr="007020C2" w:rsidRDefault="00F639AF" w:rsidP="00F26A2F">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Целевые показатели в области культуры и мероприятия, направленные  на их достижение, определены в «Муниципальной программе Богородского городского округа «Культура» на 2019</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2023 годы», утвержденной постановлением администрации Богородского городского округа от 29.12.2018 № 3803.</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2.4.9</w:t>
            </w:r>
          </w:p>
          <w:p w:rsidR="00F639AF" w:rsidRPr="007020C2" w:rsidRDefault="00F639AF" w:rsidP="00E0767B">
            <w:pPr>
              <w:spacing w:after="0" w:line="240" w:lineRule="auto"/>
              <w:ind w:right="-150"/>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Приложение № 1</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54747">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Минимально рекомендуемые площади земельных участков для размещения на них объектов социального и коммунально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 установлены с учетом [2]  (см. приложение Д) и [9] (см. приложение П).</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2.4.10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13</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54747">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пешеходная доступность от места жительства до объектов социального и коммунально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 установлена по [1] (см. раздел I, подраздел 6, п.6.9 и таблица № 34).</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2.4.11</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Максимальная доступность объекта общего образования для жителей сельского населенного пункта установлена по [1] (см. раздел I, подраздел 6, п.6.5 </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 6.8).</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2.4.12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доступность дошкольной образовательной организации для жителей сельского населенного пункта установлена по аналогии с доступностью объектов общего образования и учетом размеров территории городского поселения.</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Расчетный уровень автомобилизации установлен по [1] (см. раздел I, подраздел 5, п.5.10).</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Плотность улично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дорожной сети Рудс с прямоугольной структурой кварталов определяется по формуле:</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Рудс = Lудс / Sкв = ((X+d)+(Y+d)) / ((X+d)×(Y+d)),</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где  Sкв – площадь квартала;</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Lудс – длина участка улицы, обслуживающей квартал;</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Sудс – площадь участка улицы, обслуживающей квартал;</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Y – длина квартала;</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X – ширина квартала;</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d – ширина улицы.</w:t>
            </w:r>
          </w:p>
          <w:p w:rsidR="00F639AF" w:rsidRPr="007020C2" w:rsidRDefault="00F639AF" w:rsidP="00B54747">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Минимальная плотность улично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дорожной сети кварталов многоквартирной жилой и общественно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деловой застройки в городе Ногинске Рудс = 7,5 км/км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установлена с учетом [1] (см. раздел I, подраздел 1, п.1.5) и сложившихся параметров кварталов, исходя из размера квартала X = 0,15÷0,25 км, Y = 0,20÷0,40 км и ширины улицы d = 0,02÷0,03 км при застройке многоквартирными домами.</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2.5.3</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Пешеходная доступность от места жительства до ближайшей остановки пассажирского транспорта установлена по [1] (см. раздел I, подраздел 6, п.6.9 и таблица № 34, последняя строка).</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2.5.4</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14</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Максимальная дальность пешеходных подходов от объектов массового посещения до ближайшей остановки транспорта общего пользования установлена по [1] (см. раздел I, подраздел 6, п.6.10 и таблица № 35).</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2.5.6</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15</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Параметры объектов улично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дорожной сети установлены с учетом [2] (см. п. 11.5, п. 11.6 и приложение Е) и [9](см. п. 10.13 и п. 10.17, таблицы 6 и 8).</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2.5.7</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16</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Показатель минимальной площади территории для хранения индивидуального автомобильного транспорта в границах квартала и жилого район в расчете на жителя многоквартирного дома различной этажности установлен в соответствии c [1] (см. раздел I, подраздел 5, п.5.5</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5.6 и таблицы №№ 7, 13, 22 строки 1 и 13). Так при этажности 8 показатель для квартала 2,06+1,3=3,4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 для жилого района 2,06+1,3+3,12=6,5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 В сельских населенных пунктах  8,5+1,9 = 10,4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2.5.8</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2.5.9</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Расчетные показатели обеспеченности машино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местами (парковочными местами)  жителей многоквартирных домов установлены по [1] (см раздел I, подраздел 5, п.5.12).</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2.5.11</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17</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размер земельных участков многоэтажных гаражей установлен с учетом [2] (см. п. 11.37).</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2.5.14</w:t>
            </w:r>
          </w:p>
          <w:p w:rsidR="00F639AF" w:rsidRPr="007020C2" w:rsidRDefault="00F639AF" w:rsidP="000810DE">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1</w:t>
            </w:r>
            <w:r w:rsidR="000810DE" w:rsidRPr="007020C2">
              <w:rPr>
                <w:rFonts w:ascii="Times New Roman" w:eastAsia="Times New Roman" w:hAnsi="Times New Roman" w:cs="Times New Roman"/>
                <w:lang w:eastAsia="ru-RU"/>
              </w:rPr>
              <w:t>8</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Расчетные показатели вместимости приобъектных стоянок установлены с учетом [2] (см. приложение Ж).</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2.5.16</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Расчетная площадь одного парковочного места установлена по [1] (см. раздел I, подраздел 5, п.5.11).</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2.5.17</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Минимальная удельная площадь земельного участка для автозаправочных станций установлена с учетом [2] (см. п. 11.41).</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2.5.18</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2.5.19</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2.5.20</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Показатели для велосипедных дорожек и стоянок установлены по [1] (см. раздел I, подраздел 5, п.5.20)</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Минимальный уровень обеспеченности населения территорией для размещение объектов инженерной инфраструктуры установлена c учетом [1] (см. раздел I, подраздел 5 п. 5.5 и таблиц №№ 7, 13, 22, 28, 31, 32, строка 2).</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2.6.3</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20</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Показатели обеспечения жителей городского округа объектами газоснабжения принимаются в соответствии с [4].</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2.6.10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21</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Максимальные размеры земельных участков для размещения водоочистных сооружений установлены с учетом [9] (см. п. 11.4).</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2.6.12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Максимальные размеры земельных участков для размещения понизительных подстанций установлены с учетом [9] (см. п. 11.7).</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2.6.13</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22</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Максимальные размеры земельных участков для размещения котельных установлены с учетом [2] (см. п. 12.27) и [9] (см. п. 11.10).</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2.7.2</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таблица 23</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Минимальная удельная площадь придомовой территории G</w:t>
            </w:r>
            <w:r w:rsidRPr="007020C2">
              <w:rPr>
                <w:rFonts w:ascii="Times New Roman" w:eastAsia="Times New Roman" w:hAnsi="Times New Roman" w:cs="Times New Roman"/>
                <w:vertAlign w:val="subscript"/>
                <w:lang w:eastAsia="ru-RU"/>
              </w:rPr>
              <w:t> зу</w:t>
            </w:r>
            <w:r w:rsidRPr="007020C2">
              <w:rPr>
                <w:rFonts w:ascii="Times New Roman" w:eastAsia="Times New Roman" w:hAnsi="Times New Roman" w:cs="Times New Roman"/>
                <w:vertAlign w:val="superscript"/>
                <w:lang w:eastAsia="ru-RU"/>
              </w:rPr>
              <w:t>min</w:t>
            </w:r>
            <w:r w:rsidRPr="007020C2">
              <w:rPr>
                <w:rFonts w:ascii="Times New Roman" w:eastAsia="Times New Roman" w:hAnsi="Times New Roman" w:cs="Times New Roman"/>
                <w:lang w:eastAsia="ru-RU"/>
              </w:rPr>
              <w:t> связана с максимальным коэффициентом застройки K</w:t>
            </w:r>
            <w:r w:rsidRPr="007020C2">
              <w:rPr>
                <w:rFonts w:ascii="Times New Roman" w:eastAsia="Times New Roman" w:hAnsi="Times New Roman" w:cs="Times New Roman"/>
                <w:vertAlign w:val="subscript"/>
                <w:lang w:eastAsia="ru-RU"/>
              </w:rPr>
              <w:t>з зу</w:t>
            </w:r>
            <w:r w:rsidRPr="007020C2">
              <w:rPr>
                <w:rFonts w:ascii="Times New Roman" w:eastAsia="Times New Roman" w:hAnsi="Times New Roman" w:cs="Times New Roman"/>
                <w:vertAlign w:val="superscript"/>
                <w:lang w:eastAsia="ru-RU"/>
              </w:rPr>
              <w:t>max</w:t>
            </w:r>
            <w:r w:rsidRPr="007020C2">
              <w:rPr>
                <w:rFonts w:ascii="Times New Roman" w:eastAsia="Times New Roman" w:hAnsi="Times New Roman" w:cs="Times New Roman"/>
                <w:lang w:eastAsia="ru-RU"/>
              </w:rPr>
              <w:t> и средней этажностью многоквартирного дома N</w:t>
            </w:r>
            <w:r w:rsidRPr="007020C2">
              <w:rPr>
                <w:rFonts w:ascii="Times New Roman" w:eastAsia="Times New Roman" w:hAnsi="Times New Roman" w:cs="Times New Roman"/>
                <w:vertAlign w:val="subscript"/>
                <w:lang w:eastAsia="ru-RU"/>
              </w:rPr>
              <w:t>эт</w:t>
            </w:r>
            <w:r w:rsidRPr="007020C2">
              <w:rPr>
                <w:rFonts w:ascii="Times New Roman" w:eastAsia="Times New Roman" w:hAnsi="Times New Roman" w:cs="Times New Roman"/>
                <w:lang w:eastAsia="ru-RU"/>
              </w:rPr>
              <w:t> формулой:</w:t>
            </w:r>
          </w:p>
          <w:p w:rsidR="00F639AF" w:rsidRPr="007020C2" w:rsidRDefault="00F639AF" w:rsidP="00E0767B">
            <w:pPr>
              <w:spacing w:after="100" w:line="240" w:lineRule="auto"/>
              <w:ind w:left="-11"/>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G</w:t>
            </w:r>
            <w:r w:rsidRPr="007020C2">
              <w:rPr>
                <w:rFonts w:ascii="Times New Roman" w:eastAsia="Times New Roman" w:hAnsi="Times New Roman" w:cs="Times New Roman"/>
                <w:vertAlign w:val="subscript"/>
                <w:lang w:eastAsia="ru-RU"/>
              </w:rPr>
              <w:t> зу</w:t>
            </w:r>
            <w:r w:rsidRPr="007020C2">
              <w:rPr>
                <w:rFonts w:ascii="Times New Roman" w:eastAsia="Times New Roman" w:hAnsi="Times New Roman" w:cs="Times New Roman"/>
                <w:vertAlign w:val="superscript"/>
                <w:lang w:eastAsia="ru-RU"/>
              </w:rPr>
              <w:t>min</w:t>
            </w:r>
            <w:r w:rsidRPr="007020C2">
              <w:rPr>
                <w:rFonts w:ascii="Times New Roman" w:eastAsia="Times New Roman" w:hAnsi="Times New Roman" w:cs="Times New Roman"/>
                <w:lang w:eastAsia="ru-RU"/>
              </w:rPr>
              <w:t> = 1 / (K</w:t>
            </w:r>
            <w:r w:rsidRPr="007020C2">
              <w:rPr>
                <w:rFonts w:ascii="Times New Roman" w:eastAsia="Times New Roman" w:hAnsi="Times New Roman" w:cs="Times New Roman"/>
                <w:vertAlign w:val="subscript"/>
                <w:lang w:eastAsia="ru-RU"/>
              </w:rPr>
              <w:t>з зу</w:t>
            </w:r>
            <w:r w:rsidRPr="007020C2">
              <w:rPr>
                <w:rFonts w:ascii="Times New Roman" w:eastAsia="Times New Roman" w:hAnsi="Times New Roman" w:cs="Times New Roman"/>
                <w:vertAlign w:val="superscript"/>
                <w:lang w:eastAsia="ru-RU"/>
              </w:rPr>
              <w:t>max </w:t>
            </w:r>
            <w:r w:rsidRPr="007020C2">
              <w:rPr>
                <w:rFonts w:ascii="Times New Roman" w:eastAsia="Times New Roman" w:hAnsi="Times New Roman" w:cs="Times New Roman"/>
                <w:lang w:eastAsia="ru-RU"/>
              </w:rPr>
              <w:t>/100× N</w:t>
            </w:r>
            <w:r w:rsidRPr="007020C2">
              <w:rPr>
                <w:rFonts w:ascii="Times New Roman" w:eastAsia="Times New Roman" w:hAnsi="Times New Roman" w:cs="Times New Roman"/>
                <w:vertAlign w:val="subscript"/>
                <w:lang w:eastAsia="ru-RU"/>
              </w:rPr>
              <w:t>эт</w:t>
            </w:r>
            <w:r w:rsidRPr="007020C2">
              <w:rPr>
                <w:rFonts w:ascii="Times New Roman" w:eastAsia="Times New Roman" w:hAnsi="Times New Roman" w:cs="Times New Roman"/>
                <w:lang w:eastAsia="ru-RU"/>
              </w:rPr>
              <w:t> × k ),</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где k – отношение площади квартир на этаже к площади этажа в габаритах наружных стен, k≈0,75.</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При фиксированной этажности домов максимальные коэффициент застройки земельного участка не должен превосходить максимальный коэффициент застройки квартала (K</w:t>
            </w:r>
            <w:r w:rsidRPr="007020C2">
              <w:rPr>
                <w:rFonts w:ascii="Times New Roman" w:eastAsia="Times New Roman" w:hAnsi="Times New Roman" w:cs="Times New Roman"/>
                <w:vertAlign w:val="subscript"/>
                <w:lang w:eastAsia="ru-RU"/>
              </w:rPr>
              <w:t>з зу</w:t>
            </w:r>
            <w:r w:rsidRPr="007020C2">
              <w:rPr>
                <w:rFonts w:ascii="Times New Roman" w:eastAsia="Times New Roman" w:hAnsi="Times New Roman" w:cs="Times New Roman"/>
                <w:vertAlign w:val="superscript"/>
                <w:lang w:eastAsia="ru-RU"/>
              </w:rPr>
              <w:t>max</w:t>
            </w:r>
            <w:r w:rsidRPr="007020C2">
              <w:rPr>
                <w:rFonts w:ascii="Times New Roman" w:eastAsia="Times New Roman" w:hAnsi="Times New Roman" w:cs="Times New Roman"/>
                <w:lang w:eastAsia="ru-RU"/>
              </w:rPr>
              <w:t>  K</w:t>
            </w:r>
            <w:r w:rsidRPr="007020C2">
              <w:rPr>
                <w:rFonts w:ascii="Times New Roman" w:eastAsia="Times New Roman" w:hAnsi="Times New Roman" w:cs="Times New Roman"/>
                <w:vertAlign w:val="subscript"/>
                <w:lang w:eastAsia="ru-RU"/>
              </w:rPr>
              <w:t>з кв</w:t>
            </w:r>
            <w:r w:rsidRPr="007020C2">
              <w:rPr>
                <w:rFonts w:ascii="Times New Roman" w:eastAsia="Times New Roman" w:hAnsi="Times New Roman" w:cs="Times New Roman"/>
                <w:vertAlign w:val="superscript"/>
                <w:lang w:eastAsia="ru-RU"/>
              </w:rPr>
              <w:t>max</w:t>
            </w:r>
            <w:r w:rsidRPr="007020C2">
              <w:rPr>
                <w:rFonts w:ascii="Times New Roman" w:eastAsia="Times New Roman" w:hAnsi="Times New Roman" w:cs="Times New Roman"/>
                <w:lang w:eastAsia="ru-RU"/>
              </w:rPr>
              <w:t>), состоящего из нескольких таких участков, т.к. коэффициент застройки квартала является взвешенной суммой коэффициентов застройки земельных участков, входящих в квартал. Поэтому, подставляя в формулу K</w:t>
            </w:r>
            <w:r w:rsidRPr="007020C2">
              <w:rPr>
                <w:rFonts w:ascii="Times New Roman" w:eastAsia="Times New Roman" w:hAnsi="Times New Roman" w:cs="Times New Roman"/>
                <w:vertAlign w:val="subscript"/>
                <w:lang w:eastAsia="ru-RU"/>
              </w:rPr>
              <w:t>з зу</w:t>
            </w:r>
            <w:r w:rsidRPr="007020C2">
              <w:rPr>
                <w:rFonts w:ascii="Times New Roman" w:eastAsia="Times New Roman" w:hAnsi="Times New Roman" w:cs="Times New Roman"/>
                <w:vertAlign w:val="superscript"/>
                <w:lang w:eastAsia="ru-RU"/>
              </w:rPr>
              <w:t>max</w:t>
            </w:r>
            <w:r w:rsidRPr="007020C2">
              <w:rPr>
                <w:rFonts w:ascii="Times New Roman" w:eastAsia="Times New Roman" w:hAnsi="Times New Roman" w:cs="Times New Roman"/>
                <w:lang w:eastAsia="ru-RU"/>
              </w:rPr>
              <w:t> = K</w:t>
            </w:r>
            <w:r w:rsidRPr="007020C2">
              <w:rPr>
                <w:rFonts w:ascii="Times New Roman" w:eastAsia="Times New Roman" w:hAnsi="Times New Roman" w:cs="Times New Roman"/>
                <w:vertAlign w:val="subscript"/>
                <w:lang w:eastAsia="ru-RU"/>
              </w:rPr>
              <w:t>з кв</w:t>
            </w:r>
            <w:r w:rsidRPr="007020C2">
              <w:rPr>
                <w:rFonts w:ascii="Times New Roman" w:eastAsia="Times New Roman" w:hAnsi="Times New Roman" w:cs="Times New Roman"/>
                <w:vertAlign w:val="superscript"/>
                <w:lang w:eastAsia="ru-RU"/>
              </w:rPr>
              <w:t>max</w:t>
            </w:r>
            <w:r w:rsidRPr="007020C2">
              <w:rPr>
                <w:rFonts w:ascii="Times New Roman" w:eastAsia="Times New Roman" w:hAnsi="Times New Roman" w:cs="Times New Roman"/>
                <w:lang w:eastAsia="ru-RU"/>
              </w:rPr>
              <w:t>, получаем:</w:t>
            </w:r>
          </w:p>
          <w:p w:rsidR="00F639AF" w:rsidRPr="007020C2" w:rsidRDefault="00F639AF" w:rsidP="00E0767B">
            <w:pPr>
              <w:spacing w:after="100" w:line="240" w:lineRule="auto"/>
              <w:ind w:left="-11"/>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G</w:t>
            </w:r>
            <w:r w:rsidRPr="007020C2">
              <w:rPr>
                <w:rFonts w:ascii="Times New Roman" w:eastAsia="Times New Roman" w:hAnsi="Times New Roman" w:cs="Times New Roman"/>
                <w:vertAlign w:val="subscript"/>
                <w:lang w:eastAsia="ru-RU"/>
              </w:rPr>
              <w:t> зу</w:t>
            </w:r>
            <w:r w:rsidRPr="007020C2">
              <w:rPr>
                <w:rFonts w:ascii="Times New Roman" w:eastAsia="Times New Roman" w:hAnsi="Times New Roman" w:cs="Times New Roman"/>
                <w:vertAlign w:val="superscript"/>
                <w:lang w:eastAsia="ru-RU"/>
              </w:rPr>
              <w:t>min</w:t>
            </w:r>
            <w:r w:rsidRPr="007020C2">
              <w:rPr>
                <w:rFonts w:ascii="Times New Roman" w:eastAsia="Times New Roman" w:hAnsi="Times New Roman" w:cs="Times New Roman"/>
                <w:lang w:eastAsia="ru-RU"/>
              </w:rPr>
              <w:t>(N</w:t>
            </w:r>
            <w:r w:rsidRPr="007020C2">
              <w:rPr>
                <w:rFonts w:ascii="Times New Roman" w:eastAsia="Times New Roman" w:hAnsi="Times New Roman" w:cs="Times New Roman"/>
                <w:vertAlign w:val="subscript"/>
                <w:lang w:eastAsia="ru-RU"/>
              </w:rPr>
              <w:t>эт</w:t>
            </w:r>
            <w:r w:rsidRPr="007020C2">
              <w:rPr>
                <w:rFonts w:ascii="Times New Roman" w:eastAsia="Times New Roman" w:hAnsi="Times New Roman" w:cs="Times New Roman"/>
                <w:lang w:eastAsia="ru-RU"/>
              </w:rPr>
              <w:t>) = 1 / (K</w:t>
            </w:r>
            <w:r w:rsidRPr="007020C2">
              <w:rPr>
                <w:rFonts w:ascii="Times New Roman" w:eastAsia="Times New Roman" w:hAnsi="Times New Roman" w:cs="Times New Roman"/>
                <w:vertAlign w:val="subscript"/>
                <w:lang w:eastAsia="ru-RU"/>
              </w:rPr>
              <w:t>з кв</w:t>
            </w:r>
            <w:r w:rsidRPr="007020C2">
              <w:rPr>
                <w:rFonts w:ascii="Times New Roman" w:eastAsia="Times New Roman" w:hAnsi="Times New Roman" w:cs="Times New Roman"/>
                <w:vertAlign w:val="superscript"/>
                <w:lang w:eastAsia="ru-RU"/>
              </w:rPr>
              <w:t>max</w:t>
            </w:r>
            <w:r w:rsidRPr="007020C2">
              <w:rPr>
                <w:rFonts w:ascii="Times New Roman" w:eastAsia="Times New Roman" w:hAnsi="Times New Roman" w:cs="Times New Roman"/>
                <w:lang w:eastAsia="ru-RU"/>
              </w:rPr>
              <w:t>/100 × N</w:t>
            </w:r>
            <w:r w:rsidRPr="007020C2">
              <w:rPr>
                <w:rFonts w:ascii="Times New Roman" w:eastAsia="Times New Roman" w:hAnsi="Times New Roman" w:cs="Times New Roman"/>
                <w:vertAlign w:val="subscript"/>
                <w:lang w:eastAsia="ru-RU"/>
              </w:rPr>
              <w:t>эт</w:t>
            </w:r>
            <w:r w:rsidRPr="007020C2">
              <w:rPr>
                <w:rFonts w:ascii="Times New Roman" w:eastAsia="Times New Roman" w:hAnsi="Times New Roman" w:cs="Times New Roman"/>
                <w:lang w:eastAsia="ru-RU"/>
              </w:rPr>
              <w:t> × k ).</w:t>
            </w:r>
          </w:p>
          <w:p w:rsidR="00F639AF" w:rsidRPr="007020C2" w:rsidRDefault="00F639AF" w:rsidP="00E0767B">
            <w:pPr>
              <w:spacing w:after="100" w:line="240" w:lineRule="auto"/>
              <w:ind w:left="-11"/>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G</w:t>
            </w:r>
            <w:r w:rsidRPr="007020C2">
              <w:rPr>
                <w:rFonts w:ascii="Times New Roman" w:eastAsia="Times New Roman" w:hAnsi="Times New Roman" w:cs="Times New Roman"/>
                <w:vertAlign w:val="subscript"/>
                <w:lang w:eastAsia="ru-RU"/>
              </w:rPr>
              <w:t> зу</w:t>
            </w:r>
            <w:r w:rsidRPr="007020C2">
              <w:rPr>
                <w:rFonts w:ascii="Times New Roman" w:eastAsia="Times New Roman" w:hAnsi="Times New Roman" w:cs="Times New Roman"/>
                <w:vertAlign w:val="superscript"/>
                <w:lang w:eastAsia="ru-RU"/>
              </w:rPr>
              <w:t>min</w:t>
            </w:r>
            <w:r w:rsidRPr="007020C2">
              <w:rPr>
                <w:rFonts w:ascii="Times New Roman" w:eastAsia="Times New Roman" w:hAnsi="Times New Roman" w:cs="Times New Roman"/>
                <w:lang w:eastAsia="ru-RU"/>
              </w:rPr>
              <w:t> (</w:t>
            </w:r>
            <w:r w:rsidR="004E52FA" w:rsidRPr="007020C2">
              <w:rPr>
                <w:rFonts w:ascii="Times New Roman" w:eastAsia="Times New Roman" w:hAnsi="Times New Roman" w:cs="Times New Roman"/>
                <w:lang w:eastAsia="ru-RU"/>
              </w:rPr>
              <w:t>3</w:t>
            </w:r>
            <w:r w:rsidRPr="007020C2">
              <w:rPr>
                <w:rFonts w:ascii="Times New Roman" w:eastAsia="Times New Roman" w:hAnsi="Times New Roman" w:cs="Times New Roman"/>
                <w:lang w:eastAsia="ru-RU"/>
              </w:rPr>
              <w:t>) = 1 / (</w:t>
            </w:r>
            <w:r w:rsidR="004E52FA" w:rsidRPr="007020C2">
              <w:rPr>
                <w:rFonts w:ascii="Times New Roman" w:eastAsia="Times New Roman" w:hAnsi="Times New Roman" w:cs="Times New Roman"/>
                <w:lang w:eastAsia="ru-RU"/>
              </w:rPr>
              <w:t>0</w:t>
            </w:r>
            <w:r w:rsidRPr="007020C2">
              <w:rPr>
                <w:rFonts w:ascii="Times New Roman" w:eastAsia="Times New Roman" w:hAnsi="Times New Roman" w:cs="Times New Roman"/>
                <w:lang w:eastAsia="ru-RU"/>
              </w:rPr>
              <w:t>,</w:t>
            </w:r>
            <w:r w:rsidR="004E52FA" w:rsidRPr="007020C2">
              <w:rPr>
                <w:rFonts w:ascii="Times New Roman" w:eastAsia="Times New Roman" w:hAnsi="Times New Roman" w:cs="Times New Roman"/>
                <w:lang w:eastAsia="ru-RU"/>
              </w:rPr>
              <w:t>341</w:t>
            </w:r>
            <w:r w:rsidRPr="007020C2">
              <w:rPr>
                <w:rFonts w:ascii="Times New Roman" w:eastAsia="Times New Roman" w:hAnsi="Times New Roman" w:cs="Times New Roman"/>
                <w:lang w:eastAsia="ru-RU"/>
              </w:rPr>
              <w:t xml:space="preserve"> × </w:t>
            </w:r>
            <w:r w:rsidR="004E52FA" w:rsidRPr="007020C2">
              <w:rPr>
                <w:rFonts w:ascii="Times New Roman" w:eastAsia="Times New Roman" w:hAnsi="Times New Roman" w:cs="Times New Roman"/>
                <w:lang w:eastAsia="ru-RU"/>
              </w:rPr>
              <w:t>3</w:t>
            </w:r>
            <w:r w:rsidRPr="007020C2">
              <w:rPr>
                <w:rFonts w:ascii="Times New Roman" w:eastAsia="Times New Roman" w:hAnsi="Times New Roman" w:cs="Times New Roman"/>
                <w:lang w:eastAsia="ru-RU"/>
              </w:rPr>
              <w:t xml:space="preserve"> × 0,75 ) = 1,3</w:t>
            </w:r>
            <w:r w:rsidR="004E52FA" w:rsidRPr="007020C2">
              <w:rPr>
                <w:rFonts w:ascii="Times New Roman" w:eastAsia="Times New Roman" w:hAnsi="Times New Roman" w:cs="Times New Roman"/>
                <w:lang w:eastAsia="ru-RU"/>
              </w:rPr>
              <w:t>0</w:t>
            </w:r>
            <w:r w:rsidRPr="007020C2">
              <w:rPr>
                <w:rFonts w:ascii="Times New Roman" w:eastAsia="Times New Roman" w:hAnsi="Times New Roman" w:cs="Times New Roman"/>
                <w:lang w:eastAsia="ru-RU"/>
              </w:rPr>
              <w:t>.</w:t>
            </w:r>
          </w:p>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Минимальная удельная площадь территории для организации стоянок индивидуального автомобильного транспорта рассчитана по данным [1] (см. строки 1 и 14 таблиц </w:t>
            </w:r>
            <w:r w:rsidR="0022236E" w:rsidRPr="007020C2">
              <w:rPr>
                <w:rFonts w:ascii="Times New Roman" w:eastAsia="Times New Roman" w:hAnsi="Times New Roman" w:cs="Times New Roman"/>
                <w:lang w:eastAsia="ru-RU"/>
              </w:rPr>
              <w:t>№№ 7, 13, 22</w:t>
            </w:r>
            <w:r w:rsidRPr="007020C2">
              <w:rPr>
                <w:rFonts w:ascii="Times New Roman" w:eastAsia="Times New Roman" w:hAnsi="Times New Roman" w:cs="Times New Roman"/>
                <w:lang w:eastAsia="ru-RU"/>
              </w:rPr>
              <w:t>) о минимально необходимой площади территории объектов для хранения индивидуального автомобильного транспорта при жилищной обеспеченности 20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 . (2,</w:t>
            </w:r>
            <w:r w:rsidR="0022236E" w:rsidRPr="007020C2">
              <w:rPr>
                <w:rFonts w:ascii="Times New Roman" w:eastAsia="Times New Roman" w:hAnsi="Times New Roman" w:cs="Times New Roman"/>
                <w:lang w:eastAsia="ru-RU"/>
              </w:rPr>
              <w:t>98</w:t>
            </w:r>
            <w:r w:rsidRPr="007020C2">
              <w:rPr>
                <w:rFonts w:ascii="Times New Roman" w:eastAsia="Times New Roman" w:hAnsi="Times New Roman" w:cs="Times New Roman"/>
                <w:lang w:eastAsia="ru-RU"/>
              </w:rPr>
              <w:t>+1,</w:t>
            </w:r>
            <w:r w:rsidR="0022236E" w:rsidRPr="007020C2">
              <w:rPr>
                <w:rFonts w:ascii="Times New Roman" w:eastAsia="Times New Roman" w:hAnsi="Times New Roman" w:cs="Times New Roman"/>
                <w:lang w:eastAsia="ru-RU"/>
              </w:rPr>
              <w:t>5</w:t>
            </w:r>
            <w:r w:rsidRPr="007020C2">
              <w:rPr>
                <w:rFonts w:ascii="Times New Roman" w:eastAsia="Times New Roman" w:hAnsi="Times New Roman" w:cs="Times New Roman"/>
                <w:lang w:eastAsia="ru-RU"/>
              </w:rPr>
              <w:t>)/20 = 0,</w:t>
            </w:r>
            <w:r w:rsidR="0022236E" w:rsidRPr="007020C2">
              <w:rPr>
                <w:rFonts w:ascii="Times New Roman" w:eastAsia="Times New Roman" w:hAnsi="Times New Roman" w:cs="Times New Roman"/>
                <w:lang w:eastAsia="ru-RU"/>
              </w:rPr>
              <w:t>22</w:t>
            </w:r>
            <w:r w:rsidRPr="007020C2">
              <w:rPr>
                <w:rFonts w:ascii="Times New Roman" w:eastAsia="Times New Roman" w:hAnsi="Times New Roman" w:cs="Times New Roman"/>
                <w:lang w:eastAsia="ru-RU"/>
              </w:rPr>
              <w:t>, что соответствует обеспеченности парковочными местами на придомовой территории на уровне не ниже 100%×(</w:t>
            </w:r>
            <w:r w:rsidR="0022236E" w:rsidRPr="007020C2">
              <w:rPr>
                <w:rFonts w:ascii="Times New Roman" w:eastAsia="Times New Roman" w:hAnsi="Times New Roman" w:cs="Times New Roman"/>
                <w:lang w:eastAsia="ru-RU"/>
              </w:rPr>
              <w:t>2,98+1,5</w:t>
            </w:r>
            <w:r w:rsidRPr="007020C2">
              <w:rPr>
                <w:rFonts w:ascii="Times New Roman" w:eastAsia="Times New Roman" w:hAnsi="Times New Roman" w:cs="Times New Roman"/>
                <w:lang w:eastAsia="ru-RU"/>
              </w:rPr>
              <w:t xml:space="preserve">)/(22,5×0,42) = </w:t>
            </w:r>
            <w:r w:rsidR="0022236E" w:rsidRPr="007020C2">
              <w:rPr>
                <w:rFonts w:ascii="Times New Roman" w:eastAsia="Times New Roman" w:hAnsi="Times New Roman" w:cs="Times New Roman"/>
                <w:lang w:eastAsia="ru-RU"/>
              </w:rPr>
              <w:t>47</w:t>
            </w:r>
            <w:r w:rsidRPr="007020C2">
              <w:rPr>
                <w:rFonts w:ascii="Times New Roman" w:eastAsia="Times New Roman" w:hAnsi="Times New Roman" w:cs="Times New Roman"/>
                <w:lang w:eastAsia="ru-RU"/>
              </w:rPr>
              <w:t>,</w:t>
            </w:r>
            <w:r w:rsidR="0022236E" w:rsidRPr="007020C2">
              <w:rPr>
                <w:rFonts w:ascii="Times New Roman" w:eastAsia="Times New Roman" w:hAnsi="Times New Roman" w:cs="Times New Roman"/>
                <w:lang w:eastAsia="ru-RU"/>
              </w:rPr>
              <w:t>5</w:t>
            </w:r>
            <w:r w:rsidRPr="007020C2">
              <w:rPr>
                <w:rFonts w:ascii="Times New Roman" w:eastAsia="Times New Roman" w:hAnsi="Times New Roman" w:cs="Times New Roman"/>
                <w:lang w:eastAsia="ru-RU"/>
              </w:rPr>
              <w:t>%. Минимальная удельная площадь территории зеленых насаждений с площадками для отдыха, игр и спорта установлен</w:t>
            </w:r>
            <w:r w:rsidR="007F430F" w:rsidRPr="007020C2">
              <w:rPr>
                <w:rFonts w:ascii="Times New Roman" w:eastAsia="Times New Roman" w:hAnsi="Times New Roman" w:cs="Times New Roman"/>
                <w:lang w:eastAsia="ru-RU"/>
              </w:rPr>
              <w:t>а</w:t>
            </w:r>
            <w:r w:rsidRPr="007020C2">
              <w:rPr>
                <w:rFonts w:ascii="Times New Roman" w:eastAsia="Times New Roman" w:hAnsi="Times New Roman" w:cs="Times New Roman"/>
                <w:lang w:eastAsia="ru-RU"/>
              </w:rPr>
              <w:t xml:space="preserve"> исходя из нормы 6,9 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на жителя при жилищной обеспеченности 20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/чел. 6,9/20= 0,345.</w:t>
            </w:r>
          </w:p>
          <w:p w:rsidR="00F639AF" w:rsidRPr="007020C2" w:rsidRDefault="00F639AF" w:rsidP="0022236E">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xml:space="preserve">Для </w:t>
            </w:r>
            <w:r w:rsidR="0022236E" w:rsidRPr="007020C2">
              <w:rPr>
                <w:rFonts w:ascii="Times New Roman" w:eastAsia="Times New Roman" w:hAnsi="Times New Roman" w:cs="Times New Roman"/>
                <w:lang w:eastAsia="ru-RU"/>
              </w:rPr>
              <w:t>домов иной</w:t>
            </w:r>
            <w:r w:rsidRPr="007020C2">
              <w:rPr>
                <w:rFonts w:ascii="Times New Roman" w:eastAsia="Times New Roman" w:hAnsi="Times New Roman" w:cs="Times New Roman"/>
                <w:lang w:eastAsia="ru-RU"/>
              </w:rPr>
              <w:t xml:space="preserve"> этаж</w:t>
            </w:r>
            <w:r w:rsidR="0022236E" w:rsidRPr="007020C2">
              <w:rPr>
                <w:rFonts w:ascii="Times New Roman" w:eastAsia="Times New Roman" w:hAnsi="Times New Roman" w:cs="Times New Roman"/>
                <w:lang w:eastAsia="ru-RU"/>
              </w:rPr>
              <w:t>ности</w:t>
            </w:r>
            <w:r w:rsidRPr="007020C2">
              <w:rPr>
                <w:rFonts w:ascii="Times New Roman" w:eastAsia="Times New Roman" w:hAnsi="Times New Roman" w:cs="Times New Roman"/>
                <w:lang w:eastAsia="ru-RU"/>
              </w:rPr>
              <w:t xml:space="preserve"> минимальные удельные площади рассчитываются аналогично по описанному алгоритму.</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2.7.3</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Минимальные расстояния от окон жилых и общественных зданий до придомовых площадок установлены с учетом [2] (см. п.7.5).</w:t>
            </w:r>
          </w:p>
        </w:tc>
      </w:tr>
      <w:tr w:rsidR="007C4C6F" w:rsidRPr="007020C2" w:rsidTr="0027779C">
        <w:trPr>
          <w:trHeight w:val="393"/>
        </w:trPr>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2.7.8</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Размеры разворотных площадок тупиковых проездов устанавливаются с учетом [9] (см. п. 10.13).</w:t>
            </w:r>
          </w:p>
        </w:tc>
      </w:tr>
      <w:tr w:rsidR="007C4C6F" w:rsidRPr="007020C2" w:rsidTr="000A29B0">
        <w:tc>
          <w:tcPr>
            <w:tcW w:w="156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2.8</w:t>
            </w:r>
          </w:p>
        </w:tc>
        <w:tc>
          <w:tcPr>
            <w:tcW w:w="836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A29B0">
            <w:pPr>
              <w:spacing w:after="0" w:line="240" w:lineRule="auto"/>
              <w:ind w:left="-9"/>
              <w:jc w:val="both"/>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Расчетные показатели для кладбищ установлены по [1] (см. раздел I, подраздел 5, п.5.19.</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26A2F" w:rsidRPr="007020C2" w:rsidRDefault="00F26A2F" w:rsidP="00F639AF">
      <w:pPr>
        <w:spacing w:after="0" w:line="240" w:lineRule="auto"/>
        <w:textAlignment w:val="baseline"/>
        <w:rPr>
          <w:rFonts w:ascii="Times New Roman" w:eastAsia="Times New Roman" w:hAnsi="Times New Roman" w:cs="Times New Roman"/>
          <w:color w:val="666666"/>
          <w:sz w:val="24"/>
          <w:szCs w:val="24"/>
          <w:lang w:eastAsia="ru-RU"/>
        </w:rPr>
      </w:pPr>
    </w:p>
    <w:p w:rsidR="00F639AF" w:rsidRPr="007020C2" w:rsidRDefault="00F639AF" w:rsidP="00B8681B">
      <w:pPr>
        <w:spacing w:after="0"/>
        <w:ind w:firstLine="567"/>
        <w:jc w:val="right"/>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Таблица 25</w:t>
      </w:r>
    </w:p>
    <w:tbl>
      <w:tblPr>
        <w:tblW w:w="9923" w:type="dxa"/>
        <w:tblInd w:w="150" w:type="dxa"/>
        <w:tblCellMar>
          <w:left w:w="0" w:type="dxa"/>
          <w:right w:w="0" w:type="dxa"/>
        </w:tblCellMar>
        <w:tblLook w:val="04A0"/>
      </w:tblPr>
      <w:tblGrid>
        <w:gridCol w:w="597"/>
        <w:gridCol w:w="9326"/>
      </w:tblGrid>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п/п</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0767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Документы,</w:t>
            </w:r>
          </w:p>
          <w:p w:rsidR="00F639AF" w:rsidRPr="007020C2" w:rsidRDefault="00F639AF" w:rsidP="00E0767B">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использованные в материалах по обоснованию расчетных показателей</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1</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Нормативы градостроительного проектирования Московской области (утв. постановлением Правительства Московской области от 17.08.2015 № 713/30).</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AC36B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Свод правил 42.13330.2016 «СНиП 2.07.01</w:t>
            </w:r>
            <w:r w:rsidR="00AC36B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89*. Градостроительство. Планировка и застройка городских и сельских поселений» (утв. </w:t>
            </w:r>
            <w:hyperlink r:id="rId13" w:history="1">
              <w:r w:rsidRPr="007020C2">
                <w:rPr>
                  <w:rFonts w:ascii="Times New Roman" w:eastAsia="Times New Roman" w:hAnsi="Times New Roman" w:cs="Times New Roman"/>
                  <w:bdr w:val="none" w:sz="0" w:space="0" w:color="auto" w:frame="1"/>
                  <w:lang w:eastAsia="ru-RU"/>
                </w:rPr>
                <w:t>приказом</w:t>
              </w:r>
            </w:hyperlink>
            <w:r w:rsidRPr="007020C2">
              <w:rPr>
                <w:rFonts w:ascii="Times New Roman" w:eastAsia="Times New Roman" w:hAnsi="Times New Roman" w:cs="Times New Roman"/>
                <w:lang w:eastAsia="ru-RU"/>
              </w:rPr>
              <w:t> Министерства строительства и жилищно</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коммунального хозяйства РФ от 30.12.2016 № 1034/пр).</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3271EF" w:rsidP="00F639AF">
            <w:pPr>
              <w:spacing w:after="0" w:line="240" w:lineRule="auto"/>
              <w:textAlignment w:val="baseline"/>
              <w:rPr>
                <w:rFonts w:ascii="Times New Roman" w:eastAsia="Times New Roman" w:hAnsi="Times New Roman" w:cs="Times New Roman"/>
                <w:lang w:eastAsia="ru-RU"/>
              </w:rPr>
            </w:pPr>
            <w:hyperlink r:id="rId14" w:history="1">
              <w:r w:rsidR="00F639AF" w:rsidRPr="007020C2">
                <w:rPr>
                  <w:rFonts w:ascii="Times New Roman" w:eastAsia="Times New Roman" w:hAnsi="Times New Roman" w:cs="Times New Roman"/>
                  <w:bdr w:val="none" w:sz="0" w:space="0" w:color="auto" w:frame="1"/>
                  <w:lang w:eastAsia="ru-RU"/>
                </w:rPr>
                <w:t>Указания. Региональный парковый стандарт Московской области</w:t>
              </w:r>
            </w:hyperlink>
            <w:r w:rsidR="00F639AF" w:rsidRPr="007020C2">
              <w:rPr>
                <w:rFonts w:ascii="Times New Roman" w:eastAsia="Times New Roman" w:hAnsi="Times New Roman" w:cs="Times New Roman"/>
                <w:lang w:eastAsia="ru-RU"/>
              </w:rPr>
              <w:t> (утв. постановлением Правительства Московской области от 23.12.2013  № 1098/55)</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Нормативы потребления природного газа населением при отсутствии приборов учета газа (утв. </w:t>
            </w:r>
            <w:hyperlink r:id="rId15" w:anchor="sub_0" w:history="1">
              <w:r w:rsidRPr="007020C2">
                <w:rPr>
                  <w:rFonts w:ascii="Times New Roman" w:eastAsia="Times New Roman" w:hAnsi="Times New Roman" w:cs="Times New Roman"/>
                  <w:bdr w:val="none" w:sz="0" w:space="0" w:color="auto" w:frame="1"/>
                  <w:lang w:eastAsia="ru-RU"/>
                </w:rPr>
                <w:t>постановлением</w:t>
              </w:r>
            </w:hyperlink>
            <w:r w:rsidRPr="007020C2">
              <w:rPr>
                <w:rFonts w:ascii="Times New Roman" w:eastAsia="Times New Roman" w:hAnsi="Times New Roman" w:cs="Times New Roman"/>
                <w:lang w:eastAsia="ru-RU"/>
              </w:rPr>
              <w:t> Правительства Московской области от 09.11.2006 № 1047/43).</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3271EF" w:rsidP="00AC36BF">
            <w:pPr>
              <w:spacing w:after="0" w:line="240" w:lineRule="auto"/>
              <w:textAlignment w:val="baseline"/>
              <w:rPr>
                <w:rFonts w:ascii="Times New Roman" w:eastAsia="Times New Roman" w:hAnsi="Times New Roman" w:cs="Times New Roman"/>
                <w:lang w:eastAsia="ru-RU"/>
              </w:rPr>
            </w:pPr>
            <w:hyperlink r:id="rId16" w:history="1">
              <w:r w:rsidR="00F639AF" w:rsidRPr="007020C2">
                <w:rPr>
                  <w:rFonts w:ascii="Times New Roman" w:eastAsia="Times New Roman" w:hAnsi="Times New Roman" w:cs="Times New Roman"/>
                  <w:lang w:eastAsia="ru-RU"/>
                </w:rPr>
                <w:t xml:space="preserve">Государственная программа Московской области «Архитектура и градостроительство Подмосковья» на 2017 </w:t>
              </w:r>
              <w:r w:rsidR="00AC36BF"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2021 годы </w:t>
              </w:r>
            </w:hyperlink>
            <w:r w:rsidR="00F639AF" w:rsidRPr="007020C2">
              <w:rPr>
                <w:rFonts w:ascii="Times New Roman" w:eastAsia="Times New Roman" w:hAnsi="Times New Roman" w:cs="Times New Roman"/>
                <w:lang w:eastAsia="ru-RU"/>
              </w:rPr>
              <w:t> (утв. </w:t>
            </w:r>
            <w:hyperlink r:id="rId17" w:anchor="sub_0" w:history="1">
              <w:r w:rsidR="00F639AF" w:rsidRPr="007020C2">
                <w:rPr>
                  <w:rFonts w:ascii="Times New Roman" w:eastAsia="Times New Roman" w:hAnsi="Times New Roman" w:cs="Times New Roman"/>
                  <w:lang w:eastAsia="ru-RU"/>
                </w:rPr>
                <w:t>постановление</w:t>
              </w:r>
            </w:hyperlink>
            <w:r w:rsidR="00F639AF" w:rsidRPr="007020C2">
              <w:rPr>
                <w:rFonts w:ascii="Times New Roman" w:eastAsia="Times New Roman" w:hAnsi="Times New Roman" w:cs="Times New Roman"/>
                <w:lang w:eastAsia="ru-RU"/>
              </w:rPr>
              <w:t>м Правительства Московской области от 25.10.2016 № 791/39).</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3271EF" w:rsidP="00023C42">
            <w:pPr>
              <w:spacing w:after="0" w:line="240" w:lineRule="auto"/>
              <w:textAlignment w:val="baseline"/>
              <w:rPr>
                <w:rFonts w:ascii="Times New Roman" w:eastAsia="Times New Roman" w:hAnsi="Times New Roman" w:cs="Times New Roman"/>
                <w:lang w:eastAsia="ru-RU"/>
              </w:rPr>
            </w:pPr>
            <w:hyperlink r:id="rId18" w:history="1">
              <w:r w:rsidR="00F639AF" w:rsidRPr="007020C2">
                <w:rPr>
                  <w:rFonts w:ascii="Times New Roman" w:eastAsia="Times New Roman" w:hAnsi="Times New Roman" w:cs="Times New Roman"/>
                  <w:lang w:eastAsia="ru-RU"/>
                </w:rPr>
                <w:t>Государственная программа Московской области «Предпринимательство Подмосковья» </w:t>
              </w:r>
            </w:hyperlink>
            <w:r w:rsidR="00F639AF" w:rsidRPr="007020C2">
              <w:rPr>
                <w:rFonts w:ascii="Times New Roman" w:eastAsia="Times New Roman" w:hAnsi="Times New Roman" w:cs="Times New Roman"/>
                <w:lang w:eastAsia="ru-RU"/>
              </w:rPr>
              <w:t xml:space="preserve"> на 2017 </w:t>
            </w:r>
            <w:r w:rsidR="00AC36BF"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 xml:space="preserve"> 202</w:t>
            </w:r>
            <w:r w:rsidR="00023C42">
              <w:rPr>
                <w:rFonts w:ascii="Times New Roman" w:eastAsia="Times New Roman" w:hAnsi="Times New Roman" w:cs="Times New Roman"/>
                <w:lang w:eastAsia="ru-RU"/>
              </w:rPr>
              <w:t>4</w:t>
            </w:r>
            <w:r w:rsidR="00F639AF" w:rsidRPr="007020C2">
              <w:rPr>
                <w:rFonts w:ascii="Times New Roman" w:eastAsia="Times New Roman" w:hAnsi="Times New Roman" w:cs="Times New Roman"/>
                <w:lang w:eastAsia="ru-RU"/>
              </w:rPr>
              <w:t xml:space="preserve"> годы (утв. </w:t>
            </w:r>
            <w:hyperlink r:id="rId19" w:anchor="sub_0" w:history="1">
              <w:r w:rsidR="00F639AF" w:rsidRPr="007020C2">
                <w:rPr>
                  <w:rFonts w:ascii="Times New Roman" w:eastAsia="Times New Roman" w:hAnsi="Times New Roman" w:cs="Times New Roman"/>
                  <w:lang w:eastAsia="ru-RU"/>
                </w:rPr>
                <w:t>постановление</w:t>
              </w:r>
            </w:hyperlink>
            <w:r w:rsidR="00F639AF" w:rsidRPr="007020C2">
              <w:rPr>
                <w:rFonts w:ascii="Times New Roman" w:eastAsia="Times New Roman" w:hAnsi="Times New Roman" w:cs="Times New Roman"/>
                <w:lang w:eastAsia="ru-RU"/>
              </w:rPr>
              <w:t>м Правительства Московской области от 25.10.2016 № 788/39).</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3271EF" w:rsidP="00023C42">
            <w:pPr>
              <w:spacing w:after="0" w:line="240" w:lineRule="auto"/>
              <w:textAlignment w:val="baseline"/>
              <w:rPr>
                <w:rFonts w:ascii="Times New Roman" w:eastAsia="Times New Roman" w:hAnsi="Times New Roman" w:cs="Times New Roman"/>
                <w:lang w:eastAsia="ru-RU"/>
              </w:rPr>
            </w:pPr>
            <w:hyperlink r:id="rId20" w:history="1">
              <w:r w:rsidR="00F639AF" w:rsidRPr="007020C2">
                <w:rPr>
                  <w:rFonts w:ascii="Times New Roman" w:eastAsia="Times New Roman" w:hAnsi="Times New Roman" w:cs="Times New Roman"/>
                  <w:lang w:eastAsia="ru-RU"/>
                </w:rPr>
                <w:t>Государственная программа Московской области «Спорт Подмосковья» </w:t>
              </w:r>
            </w:hyperlink>
            <w:r w:rsidR="00F639AF" w:rsidRPr="007020C2">
              <w:rPr>
                <w:rFonts w:ascii="Times New Roman" w:eastAsia="Times New Roman" w:hAnsi="Times New Roman" w:cs="Times New Roman"/>
                <w:lang w:eastAsia="ru-RU"/>
              </w:rPr>
              <w:t xml:space="preserve"> (утв. </w:t>
            </w:r>
            <w:hyperlink r:id="rId21" w:anchor="sub_0" w:history="1">
              <w:r w:rsidR="00F639AF" w:rsidRPr="007020C2">
                <w:rPr>
                  <w:rFonts w:ascii="Times New Roman" w:eastAsia="Times New Roman" w:hAnsi="Times New Roman" w:cs="Times New Roman"/>
                  <w:lang w:eastAsia="ru-RU"/>
                </w:rPr>
                <w:t>постановление</w:t>
              </w:r>
            </w:hyperlink>
            <w:r w:rsidR="00F639AF" w:rsidRPr="007020C2">
              <w:rPr>
                <w:rFonts w:ascii="Times New Roman" w:eastAsia="Times New Roman" w:hAnsi="Times New Roman" w:cs="Times New Roman"/>
                <w:lang w:eastAsia="ru-RU"/>
              </w:rPr>
              <w:t>м Правительства Московской области от 25.10.2016 № 786/39).</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23C42">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Нормативы минимальной обеспеченности населения Московской области площадью торговых объектов значения (утв. </w:t>
            </w:r>
            <w:hyperlink r:id="rId22" w:anchor="sub_0" w:history="1">
              <w:r w:rsidRPr="007020C2">
                <w:rPr>
                  <w:rFonts w:ascii="Times New Roman" w:eastAsia="Times New Roman" w:hAnsi="Times New Roman" w:cs="Times New Roman"/>
                  <w:lang w:eastAsia="ru-RU"/>
                </w:rPr>
                <w:t>постановление</w:t>
              </w:r>
            </w:hyperlink>
            <w:r w:rsidRPr="007020C2">
              <w:rPr>
                <w:rFonts w:ascii="Times New Roman" w:eastAsia="Times New Roman" w:hAnsi="Times New Roman" w:cs="Times New Roman"/>
                <w:lang w:eastAsia="ru-RU"/>
              </w:rPr>
              <w:t>м Правительства Московской области от 28.03.2017 № 221/10).</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023C42">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Территориальные строительные нормы Московской области «Планировка и застройки городских и сельских поселений ТСН ПЗП</w:t>
            </w:r>
            <w:r w:rsidR="00AC36B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99 МО (ТСН 30</w:t>
            </w:r>
            <w:r w:rsidR="00AC36B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303</w:t>
            </w:r>
            <w:r w:rsidR="00AC36B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2000)» </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3271EF" w:rsidP="00AC36BF">
            <w:pPr>
              <w:spacing w:after="0" w:line="240" w:lineRule="auto"/>
              <w:textAlignment w:val="baseline"/>
              <w:rPr>
                <w:rFonts w:ascii="Times New Roman" w:eastAsia="Times New Roman" w:hAnsi="Times New Roman" w:cs="Times New Roman"/>
                <w:lang w:eastAsia="ru-RU"/>
              </w:rPr>
            </w:pPr>
            <w:hyperlink r:id="rId23" w:history="1">
              <w:r w:rsidR="00F639AF" w:rsidRPr="007020C2">
                <w:rPr>
                  <w:rFonts w:ascii="Times New Roman" w:eastAsia="Times New Roman" w:hAnsi="Times New Roman" w:cs="Times New Roman"/>
                  <w:lang w:eastAsia="ru-RU"/>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00F639AF" w:rsidRPr="007020C2">
              <w:rPr>
                <w:rFonts w:ascii="Times New Roman" w:eastAsia="Times New Roman" w:hAnsi="Times New Roman" w:cs="Times New Roman"/>
                <w:lang w:eastAsia="ru-RU"/>
              </w:rPr>
              <w:t> (утв. </w:t>
            </w:r>
            <w:hyperlink r:id="rId24" w:history="1">
              <w:r w:rsidR="00F639AF" w:rsidRPr="007020C2">
                <w:rPr>
                  <w:rFonts w:ascii="Times New Roman" w:eastAsia="Times New Roman" w:hAnsi="Times New Roman" w:cs="Times New Roman"/>
                  <w:lang w:eastAsia="ru-RU"/>
                </w:rPr>
                <w:t>распоряжением Министерства культуры Российской Федерации от 02.08.2017 № Р</w:t>
              </w:r>
              <w:r w:rsidR="00AC36BF" w:rsidRPr="007020C2">
                <w:rPr>
                  <w:rFonts w:ascii="Times New Roman" w:eastAsia="Times New Roman" w:hAnsi="Times New Roman" w:cs="Times New Roman"/>
                  <w:lang w:eastAsia="ru-RU"/>
                </w:rPr>
                <w:t>-</w:t>
              </w:r>
              <w:r w:rsidR="00F639AF" w:rsidRPr="007020C2">
                <w:rPr>
                  <w:rFonts w:ascii="Times New Roman" w:eastAsia="Times New Roman" w:hAnsi="Times New Roman" w:cs="Times New Roman"/>
                  <w:lang w:eastAsia="ru-RU"/>
                </w:rPr>
                <w:t>965</w:t>
              </w:r>
            </w:hyperlink>
            <w:r w:rsidR="00F639AF" w:rsidRPr="007020C2">
              <w:rPr>
                <w:rFonts w:ascii="Times New Roman" w:eastAsia="Times New Roman" w:hAnsi="Times New Roman" w:cs="Times New Roman"/>
                <w:lang w:eastAsia="ru-RU"/>
              </w:rPr>
              <w:t>).</w:t>
            </w:r>
          </w:p>
        </w:tc>
      </w:tr>
      <w:tr w:rsidR="00E0767B" w:rsidRPr="007020C2" w:rsidTr="00E0767B">
        <w:tc>
          <w:tcPr>
            <w:tcW w:w="56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11</w:t>
            </w:r>
          </w:p>
        </w:tc>
        <w:tc>
          <w:tcPr>
            <w:tcW w:w="935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 приказом Федерального агентства по делам молодежи от 13.05.2016 № 167).</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B8681B" w:rsidP="00B8681B">
      <w:pPr>
        <w:spacing w:after="0" w:line="240" w:lineRule="auto"/>
        <w:jc w:val="center"/>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4. </w:t>
      </w:r>
      <w:r w:rsidR="00F639AF" w:rsidRPr="007020C2">
        <w:rPr>
          <w:rFonts w:ascii="Times New Roman" w:eastAsia="Times New Roman" w:hAnsi="Times New Roman" w:cs="Times New Roman"/>
          <w:b/>
          <w:bCs/>
          <w:sz w:val="24"/>
          <w:szCs w:val="24"/>
          <w:bdr w:val="none" w:sz="0" w:space="0" w:color="auto" w:frame="1"/>
          <w:lang w:eastAsia="ru-RU"/>
        </w:rPr>
        <w:t>Правила и область применения расчетных показателей, содержащихся в основной части нормативов градостроительного проектирования</w:t>
      </w:r>
    </w:p>
    <w:p w:rsidR="00F639AF" w:rsidRPr="007020C2" w:rsidRDefault="00F639AF" w:rsidP="00B8681B">
      <w:pPr>
        <w:spacing w:after="0" w:line="240" w:lineRule="auto"/>
        <w:jc w:val="center"/>
        <w:textAlignment w:val="baseline"/>
        <w:rPr>
          <w:rFonts w:ascii="Times New Roman" w:eastAsia="Times New Roman" w:hAnsi="Times New Roman" w:cs="Times New Roman"/>
          <w:sz w:val="24"/>
          <w:szCs w:val="24"/>
          <w:lang w:eastAsia="ru-RU"/>
        </w:rPr>
      </w:pP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4.1. Действие расчетных показателей местных нормативов градостроительного проектирования распространяется на всю территорию Богородского городского округа Московской области, на правоотношения, возникшие после утверждения настоящих местных нормативов.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4.2.   Область применения расчетных показателей, содержащихся в основной части местных нормативов распространяется на: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подготовку, согласование, утверждение генерального плана Богородского городского округа, внесение изменений в него;</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lastRenderedPageBreak/>
        <w:t>–</w:t>
      </w:r>
      <w:r w:rsidR="00F639AF" w:rsidRPr="007020C2">
        <w:rPr>
          <w:rFonts w:ascii="Times New Roman" w:eastAsia="Times New Roman" w:hAnsi="Times New Roman" w:cs="Times New Roman"/>
          <w:sz w:val="24"/>
          <w:szCs w:val="24"/>
          <w:lang w:eastAsia="ru-RU"/>
        </w:rPr>
        <w:t xml:space="preserve"> подготовку, утверждение документации по планировке территории;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определение условий аукционов на право заключить договор о развитии застроенной территории;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разработку и утверждение программ комплексного развития систем коммунальной, социальной и транспортной инфраструктур Богородского городского округа;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подготовку градостроительного плана земельного участка;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xml:space="preserve"> подготовку, утверждение правил землепользования и застройки городского округа и внесение изменений в них, в случае применения в градостроительных регламентах отсылочных норм на местные нормативы.</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4.3.  На территории Богородского городского округа местные нормативы являются обязательными в области применения, описанной в п. 4.2, для всех субъектов градостроительной деятельности.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Исключением являются расчетные показатели, содержащие указание на рекомендательное применение. Отклонения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генерального плана и (или) документации по планировке территории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4.4. Предельно допустимая этажность жилых и нежилых зданий и максимальный коэффициент застройки земельного участка производственных территорий могут непосредственно применяться в качестве соответствующих предельных параметров разрешенного </w:t>
      </w:r>
      <w:hyperlink r:id="rId25" w:anchor="sub_1013" w:history="1">
        <w:r w:rsidRPr="007020C2">
          <w:rPr>
            <w:rFonts w:ascii="Times New Roman" w:eastAsia="Times New Roman" w:hAnsi="Times New Roman" w:cs="Times New Roman"/>
            <w:sz w:val="24"/>
            <w:szCs w:val="24"/>
            <w:lang w:eastAsia="ru-RU"/>
          </w:rPr>
          <w:t>строительства</w:t>
        </w:r>
      </w:hyperlink>
      <w:r w:rsidRPr="007020C2">
        <w:rPr>
          <w:rFonts w:ascii="Times New Roman" w:eastAsia="Times New Roman" w:hAnsi="Times New Roman" w:cs="Times New Roman"/>
          <w:sz w:val="24"/>
          <w:szCs w:val="24"/>
          <w:lang w:eastAsia="ru-RU"/>
        </w:rPr>
        <w:t> и </w:t>
      </w:r>
      <w:hyperlink r:id="rId26" w:anchor="sub_1014" w:history="1">
        <w:r w:rsidRPr="007020C2">
          <w:rPr>
            <w:rFonts w:ascii="Times New Roman" w:eastAsia="Times New Roman" w:hAnsi="Times New Roman" w:cs="Times New Roman"/>
            <w:sz w:val="24"/>
            <w:szCs w:val="24"/>
            <w:lang w:eastAsia="ru-RU"/>
          </w:rPr>
          <w:t>реконструкции</w:t>
        </w:r>
      </w:hyperlink>
      <w:r w:rsidRPr="007020C2">
        <w:rPr>
          <w:rFonts w:ascii="Times New Roman" w:eastAsia="Times New Roman" w:hAnsi="Times New Roman" w:cs="Times New Roman"/>
          <w:sz w:val="24"/>
          <w:szCs w:val="24"/>
          <w:lang w:eastAsia="ru-RU"/>
        </w:rPr>
        <w:t> </w:t>
      </w:r>
      <w:hyperlink r:id="rId27" w:anchor="sub_1010" w:history="1">
        <w:r w:rsidRPr="007020C2">
          <w:rPr>
            <w:rFonts w:ascii="Times New Roman" w:eastAsia="Times New Roman" w:hAnsi="Times New Roman" w:cs="Times New Roman"/>
            <w:sz w:val="24"/>
            <w:szCs w:val="24"/>
            <w:lang w:eastAsia="ru-RU"/>
          </w:rPr>
          <w:t>объектов капитального строительства</w:t>
        </w:r>
      </w:hyperlink>
      <w:r w:rsidRPr="007020C2">
        <w:rPr>
          <w:rFonts w:ascii="Times New Roman" w:eastAsia="Times New Roman" w:hAnsi="Times New Roman" w:cs="Times New Roman"/>
          <w:sz w:val="24"/>
          <w:szCs w:val="24"/>
          <w:lang w:eastAsia="ru-RU"/>
        </w:rPr>
        <w:t> в градостроительных регламентах правил землепользования и застройки. Максимальный коэффициент застройки квартала жилыми домами должен учитываться как суммарное результирующее ограничение при установлении предельных параметров разрешенного строительства жилых домов (коэффициента застройки земельных участков, входящих в квартал).</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4.5.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договорах о развитии застроенных территорий;</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договорах о комплексном освоении территории;</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договорах о комплексном освоении территории в целях строительства жилья экономического класса;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условиях аукционов на право заключить договор о комплексном развитии территории по инициативе органа местного самоуправления.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4.6. Расчетные показатели местных нормативов могут применяться: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при подготовке градостроительного плана земельного участка;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при подготовке планов и программ комплексного социально</w:t>
      </w: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экономического развития Богородского городского округа;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lastRenderedPageBreak/>
        <w:t>–</w:t>
      </w:r>
      <w:r w:rsidR="00F639AF" w:rsidRPr="007020C2">
        <w:rPr>
          <w:rFonts w:ascii="Times New Roman" w:eastAsia="Times New Roman" w:hAnsi="Times New Roman" w:cs="Times New Roman"/>
          <w:sz w:val="24"/>
          <w:szCs w:val="24"/>
          <w:lang w:eastAsia="ru-RU"/>
        </w:rPr>
        <w:t> для принятия решений органами местного самоуправления Богородского городского округа, должностными лицами, осуществляющими контроль за градостроительной деятельностью на территории Богородского городского округа;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при проведении общественных обсуждений, публичных слушаний по проектам генерального плана Богородского городского округа;</w:t>
      </w:r>
    </w:p>
    <w:p w:rsidR="006E4C17" w:rsidRPr="007020C2" w:rsidRDefault="006E4C17" w:rsidP="006E4C17">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при проведении общественных обсуждений, публичных слушаний по проектам правил землепользования и застройки Богородского городского округа;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bookmarkStart w:id="0" w:name="_GoBack"/>
      <w:bookmarkEnd w:id="0"/>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при определении границ земельного участка в целях установления границ населенного пункта, образуемого из лесного поселка, военного городка;</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F639AF" w:rsidRPr="007020C2" w:rsidRDefault="00AE7596"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w:t>
      </w:r>
      <w:r w:rsidR="00F639AF" w:rsidRPr="007020C2">
        <w:rPr>
          <w:rFonts w:ascii="Times New Roman" w:eastAsia="Times New Roman" w:hAnsi="Times New Roman" w:cs="Times New Roman"/>
          <w:sz w:val="24"/>
          <w:szCs w:val="24"/>
          <w:lang w:eastAsia="ru-RU"/>
        </w:rPr>
        <w:t> в других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Богородского городского округа и расчетных показателей максимально допустимого уровня территориальной доступности таких объектов для населения Богородского городского округа.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4.7. В случае утверждения в составе нормативов градостроительного проектирования Московской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Московской области.</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4.8. Применение местных нормативов при подготовке генерального плана Богородского городского округа (внесения в него изменений) и документации по планировке территорий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4.9.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4.10. 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местных нормативов интенсивности использования территории и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количеству жителей в существующих кварталах, и нормативов пешеходной и (или) транспортной доступности объектов местного значения в зависимости от их видов.</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4.11. При расчете коэффициента застройки квартала многоквартирными жилыми домами из расчетной площади квартала исключаются земельные участки, на которых размещаются отдельно стоящие объекты нежилого назначения перечисленных в таблице 5 видов, если суммарная площадь таких земельных участков составляет более 10% площади квартала.</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lastRenderedPageBreak/>
        <w:t>4.12. При отмене и (или) изменении действующих нормативных документов Российской Федерации и Московской области, на которые дается ссылка в настоящих местных нормативах, следует руководствоваться нормами, вводимыми взамен отмененных.</w:t>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4.13. Правила применения расчетных показателей на примерах решения демонстрационных задач приведены в приложении № 2 к местным нормативам.</w:t>
      </w:r>
    </w:p>
    <w:p w:rsidR="00B70DDE"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p w:rsidR="00B70DDE" w:rsidRPr="007020C2" w:rsidRDefault="00B70DDE">
      <w:pPr>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br w:type="page"/>
      </w:r>
    </w:p>
    <w:p w:rsidR="00F639AF" w:rsidRPr="007020C2" w:rsidRDefault="00F639AF" w:rsidP="00B70DDE">
      <w:pPr>
        <w:spacing w:after="0"/>
        <w:ind w:firstLine="567"/>
        <w:jc w:val="both"/>
        <w:textAlignment w:val="baseline"/>
        <w:rPr>
          <w:rFonts w:ascii="Times New Roman" w:eastAsia="Times New Roman" w:hAnsi="Times New Roman" w:cs="Times New Roman"/>
          <w:sz w:val="24"/>
          <w:szCs w:val="24"/>
          <w:lang w:eastAsia="ru-RU"/>
        </w:rPr>
      </w:pPr>
    </w:p>
    <w:p w:rsidR="00F639AF" w:rsidRPr="007020C2" w:rsidRDefault="00F639AF" w:rsidP="00B70DDE">
      <w:pPr>
        <w:spacing w:after="0" w:line="240" w:lineRule="auto"/>
        <w:ind w:left="5103"/>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Приложение № 1 к местным нормативам градостроительного проектирования Богородского городского округа Московской области</w:t>
      </w:r>
    </w:p>
    <w:p w:rsidR="00F639AF" w:rsidRPr="007020C2" w:rsidRDefault="00F639AF" w:rsidP="00B70DDE">
      <w:pPr>
        <w:spacing w:after="0" w:line="240" w:lineRule="auto"/>
        <w:ind w:left="5103"/>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(рекомендуемое)</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B70DDE">
      <w:pPr>
        <w:spacing w:after="0" w:line="240" w:lineRule="auto"/>
        <w:jc w:val="center"/>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Минимальные площади земельных участков для размещения на территории Богородского городского округа объектов социального и коммунально</w:t>
      </w:r>
      <w:r w:rsidR="00AE7596" w:rsidRPr="007020C2">
        <w:rPr>
          <w:rFonts w:ascii="Times New Roman" w:eastAsia="Times New Roman" w:hAnsi="Times New Roman" w:cs="Times New Roman"/>
          <w:b/>
          <w:bCs/>
          <w:sz w:val="24"/>
          <w:szCs w:val="24"/>
          <w:bdr w:val="none" w:sz="0" w:space="0" w:color="auto" w:frame="1"/>
          <w:lang w:eastAsia="ru-RU"/>
        </w:rPr>
        <w:t>–</w:t>
      </w:r>
      <w:r w:rsidRPr="007020C2">
        <w:rPr>
          <w:rFonts w:ascii="Times New Roman" w:eastAsia="Times New Roman" w:hAnsi="Times New Roman" w:cs="Times New Roman"/>
          <w:b/>
          <w:bCs/>
          <w:sz w:val="24"/>
          <w:szCs w:val="24"/>
          <w:bdr w:val="none" w:sz="0" w:space="0" w:color="auto" w:frame="1"/>
          <w:lang w:eastAsia="ru-RU"/>
        </w:rPr>
        <w:t>бытового назначения</w:t>
      </w:r>
    </w:p>
    <w:tbl>
      <w:tblPr>
        <w:tblW w:w="9781" w:type="dxa"/>
        <w:tblInd w:w="150" w:type="dxa"/>
        <w:tblLayout w:type="fixed"/>
        <w:tblCellMar>
          <w:left w:w="0" w:type="dxa"/>
          <w:right w:w="0" w:type="dxa"/>
        </w:tblCellMar>
        <w:tblLook w:val="04A0"/>
      </w:tblPr>
      <w:tblGrid>
        <w:gridCol w:w="634"/>
        <w:gridCol w:w="3194"/>
        <w:gridCol w:w="1559"/>
        <w:gridCol w:w="1843"/>
        <w:gridCol w:w="1233"/>
        <w:gridCol w:w="1318"/>
      </w:tblGrid>
      <w:tr w:rsidR="00E567AD" w:rsidRPr="007020C2" w:rsidTr="00E567AD">
        <w:trPr>
          <w:tblHeader/>
        </w:trPr>
        <w:tc>
          <w:tcPr>
            <w:tcW w:w="63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п/п</w:t>
            </w:r>
          </w:p>
        </w:tc>
        <w:tc>
          <w:tcPr>
            <w:tcW w:w="3194"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54747">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Наименование объектов социального и коммунально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бытового назначения</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Единица измерения</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Характеристика (вместимость, мощность, пропускная способность) объектов</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Минимальная площадь земельного участка на единицу измерения</w:t>
            </w:r>
          </w:p>
        </w:tc>
      </w:tr>
      <w:tr w:rsidR="00E567AD" w:rsidRPr="007020C2" w:rsidTr="00E567AD">
        <w:trPr>
          <w:tblHeader/>
        </w:trPr>
        <w:tc>
          <w:tcPr>
            <w:tcW w:w="6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E567AD">
            <w:pPr>
              <w:spacing w:after="0" w:line="240" w:lineRule="auto"/>
              <w:jc w:val="center"/>
              <w:rPr>
                <w:rFonts w:ascii="Times New Roman" w:eastAsia="Times New Roman" w:hAnsi="Times New Roman" w:cs="Times New Roman"/>
                <w:lang w:eastAsia="ru-RU"/>
              </w:rPr>
            </w:pPr>
          </w:p>
        </w:tc>
        <w:tc>
          <w:tcPr>
            <w:tcW w:w="319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E567AD">
            <w:pPr>
              <w:spacing w:after="0" w:line="240" w:lineRule="auto"/>
              <w:jc w:val="center"/>
              <w:rPr>
                <w:rFonts w:ascii="Times New Roman" w:eastAsia="Times New Roman" w:hAnsi="Times New Roman" w:cs="Times New Roman"/>
                <w:lang w:eastAsia="ru-RU"/>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E567AD">
            <w:pPr>
              <w:spacing w:after="0" w:line="240" w:lineRule="auto"/>
              <w:jc w:val="center"/>
              <w:rPr>
                <w:rFonts w:ascii="Times New Roman" w:eastAsia="Times New Roman" w:hAnsi="Times New Roman" w:cs="Times New Roman"/>
                <w:lang w:eastAsia="ru-RU"/>
              </w:rPr>
            </w:pPr>
          </w:p>
        </w:tc>
        <w:tc>
          <w:tcPr>
            <w:tcW w:w="184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639AF" w:rsidRPr="007020C2" w:rsidRDefault="00F639AF" w:rsidP="00E567AD">
            <w:pPr>
              <w:spacing w:after="0" w:line="240" w:lineRule="auto"/>
              <w:jc w:val="center"/>
              <w:rPr>
                <w:rFonts w:ascii="Times New Roman" w:eastAsia="Times New Roman" w:hAnsi="Times New Roman" w:cs="Times New Roman"/>
                <w:lang w:eastAsia="ru-RU"/>
              </w:rPr>
            </w:pP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2</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га</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Дошкольные образовательные организации общего типа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Место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100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 и более</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35</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Общеобразовательные организации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Учащиеся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600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600</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800 и более</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33</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Школы</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интернаты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Учащиеся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300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300</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 и более</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70</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65</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45</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Поликлиники, амбулатории, центры общей врачебные практики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посещений в смену</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 и не менее 0,3   га на объект</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Стационары всех типов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Койка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50</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Аптеки базовые;</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аптеки, встроенные или пристроенные к зданиям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0,05</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Станции скорой медицинской помощи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4B4624" w:rsidP="004B4624">
            <w:pPr>
              <w:spacing w:after="0" w:line="240" w:lineRule="auto"/>
              <w:ind w:left="-150" w:right="-150"/>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w:t>
            </w:r>
            <w:r w:rsidR="00F639AF" w:rsidRPr="007020C2">
              <w:rPr>
                <w:rFonts w:ascii="Times New Roman" w:eastAsia="Times New Roman" w:hAnsi="Times New Roman" w:cs="Times New Roman"/>
                <w:lang w:eastAsia="ru-RU"/>
              </w:rPr>
              <w:t>пециальный автомобиль</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0,07 и</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не менее 0,1 на объект</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8</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Дома</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интернаты (пансионаты) общего типа для граждан пожилого  возраста (престарелых) и инвалидов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Место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Дома сестринского ухода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Койка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0,6</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1,2</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54747">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Социально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 xml:space="preserve">реабилитационные </w:t>
            </w:r>
            <w:r w:rsidRPr="007020C2">
              <w:rPr>
                <w:rFonts w:ascii="Times New Roman" w:eastAsia="Times New Roman" w:hAnsi="Times New Roman" w:cs="Times New Roman"/>
                <w:lang w:eastAsia="ru-RU"/>
              </w:rPr>
              <w:lastRenderedPageBreak/>
              <w:t>центры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Место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11</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Торговые центры, предприятия торговли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100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lang w:eastAsia="ru-RU"/>
              </w:rPr>
              <w:t> торговой площади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250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250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650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0,08</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0,08</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0,06</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Рынки розничной торговли</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w:t>
            </w:r>
            <w:r w:rsidRPr="007020C2">
              <w:rPr>
                <w:rFonts w:ascii="Times New Roman" w:eastAsia="Times New Roman" w:hAnsi="Times New Roman" w:cs="Times New Roman"/>
                <w:vertAlign w:val="superscript"/>
                <w:lang w:eastAsia="ru-RU"/>
              </w:rPr>
              <w:t>2 </w:t>
            </w:r>
            <w:r w:rsidRPr="007020C2">
              <w:rPr>
                <w:rFonts w:ascii="Times New Roman" w:eastAsia="Times New Roman" w:hAnsi="Times New Roman" w:cs="Times New Roman"/>
                <w:lang w:eastAsia="ru-RU"/>
              </w:rPr>
              <w:t>торговой площади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600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14,0</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13</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Рынки сельскохозяйственной продукции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0,7</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14</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Предприятия общественного питания:</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отдельных зданиях;</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во  встроенных зданиях или  пристроенные к зданиям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E567AD" w:rsidRPr="007020C2" w:rsidRDefault="00E567AD" w:rsidP="00F639AF">
            <w:pPr>
              <w:spacing w:after="0" w:line="240" w:lineRule="auto"/>
              <w:textAlignment w:val="baseline"/>
              <w:rPr>
                <w:rFonts w:ascii="Times New Roman" w:eastAsia="Times New Roman" w:hAnsi="Times New Roman" w:cs="Times New Roman"/>
                <w:lang w:eastAsia="ru-RU"/>
              </w:rPr>
            </w:pP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Место</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567AD" w:rsidRPr="007020C2" w:rsidRDefault="00E567AD" w:rsidP="00F639AF">
            <w:pPr>
              <w:spacing w:after="0" w:line="240" w:lineRule="auto"/>
              <w:textAlignment w:val="baseline"/>
              <w:rPr>
                <w:rFonts w:ascii="Times New Roman" w:eastAsia="Times New Roman" w:hAnsi="Times New Roman" w:cs="Times New Roman"/>
                <w:lang w:eastAsia="ru-RU"/>
              </w:rPr>
            </w:pPr>
          </w:p>
          <w:p w:rsidR="00E567AD" w:rsidRPr="007020C2" w:rsidRDefault="00E567AD" w:rsidP="00F639AF">
            <w:pPr>
              <w:spacing w:after="0" w:line="240" w:lineRule="auto"/>
              <w:textAlignment w:val="baseline"/>
              <w:rPr>
                <w:rFonts w:ascii="Times New Roman" w:eastAsia="Times New Roman" w:hAnsi="Times New Roman" w:cs="Times New Roman"/>
                <w:lang w:eastAsia="ru-RU"/>
              </w:rPr>
            </w:pP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50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более 150</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567AD" w:rsidRPr="007020C2" w:rsidRDefault="00E567AD" w:rsidP="00E567AD">
            <w:pPr>
              <w:spacing w:after="0" w:line="240" w:lineRule="auto"/>
              <w:ind w:left="-150" w:right="-192"/>
              <w:jc w:val="center"/>
              <w:textAlignment w:val="baseline"/>
              <w:rPr>
                <w:rFonts w:ascii="Times New Roman" w:eastAsia="Times New Roman" w:hAnsi="Times New Roman" w:cs="Times New Roman"/>
                <w:lang w:eastAsia="ru-RU"/>
              </w:rPr>
            </w:pPr>
          </w:p>
          <w:p w:rsidR="00E567AD" w:rsidRPr="007020C2" w:rsidRDefault="00E567AD" w:rsidP="00E567AD">
            <w:pPr>
              <w:spacing w:after="0" w:line="240" w:lineRule="auto"/>
              <w:ind w:left="-150" w:right="-192"/>
              <w:jc w:val="center"/>
              <w:textAlignment w:val="baseline"/>
              <w:rPr>
                <w:rFonts w:ascii="Times New Roman" w:eastAsia="Times New Roman" w:hAnsi="Times New Roman" w:cs="Times New Roman"/>
                <w:lang w:eastAsia="ru-RU"/>
              </w:rPr>
            </w:pPr>
          </w:p>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E567AD" w:rsidRPr="007020C2" w:rsidRDefault="00E567AD" w:rsidP="00F639AF">
            <w:pPr>
              <w:spacing w:after="0" w:line="240" w:lineRule="auto"/>
              <w:textAlignment w:val="baseline"/>
              <w:rPr>
                <w:rFonts w:ascii="Times New Roman" w:eastAsia="Times New Roman" w:hAnsi="Times New Roman" w:cs="Times New Roman"/>
                <w:lang w:eastAsia="ru-RU"/>
              </w:rPr>
            </w:pP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0,25</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15</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Учреждения культуры клубного типа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0,3</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16</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Библиотеки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17</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Культовые здания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 тыс. чел.</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18</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Предприятия бытового обслуживания:</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 отдельных зданиях;</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во встроенных помещениях или  пристроенных к зданиям</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Рабочее место</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567AD" w:rsidRPr="007020C2" w:rsidRDefault="00E567AD" w:rsidP="00F639AF">
            <w:pPr>
              <w:spacing w:after="0" w:line="240" w:lineRule="auto"/>
              <w:textAlignment w:val="baseline"/>
              <w:rPr>
                <w:rFonts w:ascii="Times New Roman" w:eastAsia="Times New Roman" w:hAnsi="Times New Roman" w:cs="Times New Roman"/>
                <w:lang w:eastAsia="ru-RU"/>
              </w:rPr>
            </w:pP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50</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до 10</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567AD" w:rsidRPr="007020C2" w:rsidRDefault="00E567AD" w:rsidP="00E567AD">
            <w:pPr>
              <w:spacing w:after="0" w:line="240" w:lineRule="auto"/>
              <w:ind w:left="-150" w:right="-192"/>
              <w:jc w:val="center"/>
              <w:textAlignment w:val="baseline"/>
              <w:rPr>
                <w:rFonts w:ascii="Times New Roman" w:eastAsia="Times New Roman" w:hAnsi="Times New Roman" w:cs="Times New Roman"/>
                <w:lang w:eastAsia="ru-RU"/>
              </w:rPr>
            </w:pPr>
          </w:p>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p>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E567AD" w:rsidRPr="007020C2" w:rsidRDefault="00E567AD" w:rsidP="00F639AF">
            <w:pPr>
              <w:spacing w:after="0" w:line="240" w:lineRule="auto"/>
              <w:textAlignment w:val="baseline"/>
              <w:rPr>
                <w:rFonts w:ascii="Times New Roman" w:eastAsia="Times New Roman" w:hAnsi="Times New Roman" w:cs="Times New Roman"/>
                <w:lang w:eastAsia="ru-RU"/>
              </w:rPr>
            </w:pP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0,2</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0,15</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19</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Бани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0,4</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20</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Прачечные, химчистки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0,5</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1,0</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B54747">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Жилищно</w:t>
            </w:r>
            <w:r w:rsidR="00B54747"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эксплуатационные организации</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0,3</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1,0</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22</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Общественные туалеты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30,0</w:t>
            </w:r>
            <w:r w:rsidR="00AE7596"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80,0</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23</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Стадионы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2,1</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3,0</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24</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Плоскостные спортивные сооружения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0,1</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1,5</w:t>
            </w:r>
          </w:p>
        </w:tc>
      </w:tr>
      <w:tr w:rsidR="00E567AD" w:rsidRPr="007020C2" w:rsidTr="00E567AD">
        <w:tc>
          <w:tcPr>
            <w:tcW w:w="63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45CC8">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lastRenderedPageBreak/>
              <w:t>25</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Спортивные залы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Объект</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F639A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AE7596" w:rsidP="00E567AD">
            <w:pPr>
              <w:spacing w:after="0" w:line="240" w:lineRule="auto"/>
              <w:ind w:left="-150" w:right="-192"/>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F26A2F">
            <w:pPr>
              <w:spacing w:after="0" w:line="240" w:lineRule="auto"/>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0,2</w:t>
            </w:r>
            <w:r w:rsidR="00F26A2F" w:rsidRPr="007020C2">
              <w:rPr>
                <w:rFonts w:ascii="Times New Roman" w:eastAsia="Times New Roman" w:hAnsi="Times New Roman" w:cs="Times New Roman"/>
                <w:lang w:eastAsia="ru-RU"/>
              </w:rPr>
              <w:t>-</w:t>
            </w:r>
            <w:r w:rsidRPr="007020C2">
              <w:rPr>
                <w:rFonts w:ascii="Times New Roman" w:eastAsia="Times New Roman" w:hAnsi="Times New Roman" w:cs="Times New Roman"/>
                <w:lang w:eastAsia="ru-RU"/>
              </w:rPr>
              <w:t>0,5</w:t>
            </w:r>
          </w:p>
        </w:tc>
      </w:tr>
    </w:tbl>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E45CC8"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E45CC8" w:rsidRPr="007020C2" w:rsidRDefault="00E45CC8">
      <w:pPr>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br w:type="page"/>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p>
    <w:p w:rsidR="00F639AF" w:rsidRPr="007020C2" w:rsidRDefault="00F639AF" w:rsidP="00E45CC8">
      <w:pPr>
        <w:spacing w:after="0" w:line="240" w:lineRule="auto"/>
        <w:ind w:left="5103"/>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Приложение № 2 к местным нормативам градостроительного проектирования Богородского городского округа Московской области</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color w:val="666666"/>
          <w:sz w:val="24"/>
          <w:szCs w:val="24"/>
          <w:lang w:eastAsia="ru-RU"/>
        </w:rPr>
        <w:t> </w:t>
      </w:r>
    </w:p>
    <w:p w:rsidR="00F639AF" w:rsidRPr="007020C2" w:rsidRDefault="00F639AF" w:rsidP="00E45CC8">
      <w:pPr>
        <w:spacing w:after="0" w:line="240" w:lineRule="auto"/>
        <w:jc w:val="center"/>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Правила применения расчетных показателей на примерах</w:t>
      </w:r>
    </w:p>
    <w:p w:rsidR="00F639AF" w:rsidRPr="007020C2" w:rsidRDefault="00F639AF" w:rsidP="00F639AF">
      <w:pPr>
        <w:spacing w:after="0" w:line="240" w:lineRule="auto"/>
        <w:textAlignment w:val="baseline"/>
        <w:rPr>
          <w:rFonts w:ascii="Times New Roman" w:eastAsia="Times New Roman" w:hAnsi="Times New Roman" w:cs="Times New Roman"/>
          <w:color w:val="666666"/>
          <w:sz w:val="24"/>
          <w:szCs w:val="24"/>
          <w:lang w:eastAsia="ru-RU"/>
        </w:rPr>
      </w:pPr>
      <w:r w:rsidRPr="007020C2">
        <w:rPr>
          <w:rFonts w:ascii="Times New Roman" w:eastAsia="Times New Roman" w:hAnsi="Times New Roman" w:cs="Times New Roman"/>
          <w:b/>
          <w:bCs/>
          <w:color w:val="666666"/>
          <w:sz w:val="24"/>
          <w:szCs w:val="24"/>
          <w:bdr w:val="none" w:sz="0" w:space="0" w:color="auto" w:frame="1"/>
          <w:lang w:eastAsia="ru-RU"/>
        </w:rPr>
        <w:t>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Пример 1</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Дано</w:t>
      </w:r>
      <w:r w:rsidRPr="007020C2">
        <w:rPr>
          <w:rFonts w:ascii="Times New Roman" w:eastAsia="Times New Roman" w:hAnsi="Times New Roman" w:cs="Times New Roman"/>
          <w:sz w:val="24"/>
          <w:szCs w:val="24"/>
          <w:lang w:eastAsia="ru-RU"/>
        </w:rPr>
        <w:t>: в городе на территории жилого квартала площадью Sкв = 27000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размещено 7 многоквартирных жилых домов со следующими параметрами:</w:t>
      </w:r>
    </w:p>
    <w:tbl>
      <w:tblPr>
        <w:tblW w:w="5954" w:type="dxa"/>
        <w:tblInd w:w="150" w:type="dxa"/>
        <w:tblCellMar>
          <w:left w:w="0" w:type="dxa"/>
          <w:right w:w="0" w:type="dxa"/>
        </w:tblCellMar>
        <w:tblLook w:val="04A0"/>
      </w:tblPr>
      <w:tblGrid>
        <w:gridCol w:w="1701"/>
        <w:gridCol w:w="2127"/>
        <w:gridCol w:w="2126"/>
      </w:tblGrid>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Индекс дома,</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i = 1, 2, …n</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Площадь застройки дома,</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Sз </w:t>
            </w:r>
            <w:r w:rsidRPr="007020C2">
              <w:rPr>
                <w:rFonts w:ascii="Times New Roman" w:eastAsia="Times New Roman" w:hAnsi="Times New Roman" w:cs="Times New Roman"/>
                <w:vertAlign w:val="subscript"/>
                <w:lang w:eastAsia="ru-RU"/>
              </w:rPr>
              <w:t>i</w:t>
            </w:r>
            <w:r w:rsidRPr="007020C2">
              <w:rPr>
                <w:rFonts w:ascii="Times New Roman" w:eastAsia="Times New Roman" w:hAnsi="Times New Roman" w:cs="Times New Roman"/>
                <w:lang w:eastAsia="ru-RU"/>
              </w:rPr>
              <w:t>,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vertAlign w:val="subscript"/>
                <w:lang w:eastAsia="ru-RU"/>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Этажность дома,</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Nэт</w:t>
            </w:r>
            <w:r w:rsidRPr="007020C2">
              <w:rPr>
                <w:rFonts w:ascii="Times New Roman" w:eastAsia="Times New Roman" w:hAnsi="Times New Roman" w:cs="Times New Roman"/>
                <w:vertAlign w:val="subscript"/>
                <w:lang w:eastAsia="ru-RU"/>
              </w:rPr>
              <w:t> i</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r>
      <w:tr w:rsidR="00E567AD" w:rsidRPr="007020C2" w:rsidTr="00E567AD">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r>
    </w:tbl>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Поэтажные площади на этажах каждого дома одинаковы и равны площади застройки.</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Требуется</w:t>
      </w:r>
      <w:r w:rsidRPr="007020C2">
        <w:rPr>
          <w:rFonts w:ascii="Times New Roman" w:eastAsia="Times New Roman" w:hAnsi="Times New Roman" w:cs="Times New Roman"/>
          <w:sz w:val="24"/>
          <w:szCs w:val="24"/>
          <w:lang w:eastAsia="ru-RU"/>
        </w:rPr>
        <w:t>: установить соответствие коэффициента застройки Кз кв и плотности застройки Рз кв квартала жилыми домами нормативным значениям.</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Решение: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 Определяется суммарная площадь застройки всех домов в квартале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 Sз </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500+500+900+900+900+900+900 = 5500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 Определяется суммарная поэтажная площадь всех домов в квартале Sэт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Sэт</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 ∑ ( Sз</w:t>
      </w:r>
      <w:r w:rsidRPr="007020C2">
        <w:rPr>
          <w:rFonts w:ascii="Times New Roman" w:eastAsia="Times New Roman" w:hAnsi="Times New Roman" w:cs="Times New Roman"/>
          <w:sz w:val="24"/>
          <w:szCs w:val="24"/>
          <w:vertAlign w:val="subscript"/>
          <w:lang w:eastAsia="ru-RU"/>
        </w:rPr>
        <w:t>i </w:t>
      </w:r>
      <w:r w:rsidRPr="007020C2">
        <w:rPr>
          <w:rFonts w:ascii="Times New Roman" w:eastAsia="Times New Roman" w:hAnsi="Times New Roman" w:cs="Times New Roman"/>
          <w:sz w:val="24"/>
          <w:szCs w:val="24"/>
          <w:lang w:eastAsia="ru-RU"/>
        </w:rPr>
        <w:t>× Nэт </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Sэт</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 500×2+500×2+900×5+900×5+900×5+900×9+900×9 = 31700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 Определяется коэффициент застройки Кз кв, плотность застройки Рз кв квартала жилыми домами и средняя этажность домов 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в квартале по формулам:</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Кз кв = 100% ×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Sкв)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Рз кв = Sэт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Sкв;</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Sэт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Кз кв = 100 × 5500 / 27000 = 20,4%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Рз кв = 31700 / 27000= 1,17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eastAsia="ru-RU"/>
        </w:rPr>
        <w:t>2 </w:t>
      </w:r>
      <w:r w:rsidRPr="007020C2">
        <w:rPr>
          <w:rFonts w:ascii="Times New Roman" w:eastAsia="Times New Roman" w:hAnsi="Times New Roman" w:cs="Times New Roman"/>
          <w:sz w:val="24"/>
          <w:szCs w:val="24"/>
          <w:lang w:eastAsia="ru-RU"/>
        </w:rPr>
        <w:t>, что  эквивалентно 11700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/га;</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36800 / 7000 = 5,8.</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lastRenderedPageBreak/>
        <w:t>4) По таблице 1 местных нормативов для полученной нецелочисленной средней этажности  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5,8 методом линейной интерполяции определяется максимальный коэффициент застройки квартала жилыми домами Kз кв</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(5,8) 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(5,8) =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 + (5,8– 5) ×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xml:space="preserve">(6)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 )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xml:space="preserve">(5,8) = 24,4 + 0,8 × (21,9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24,4) =22,4%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и соответствующая  плотность застройки квартала Kз кв</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(5,8) 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Рз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(5,8) =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Nэт</w:t>
      </w:r>
      <w:r w:rsidRPr="007020C2">
        <w:rPr>
          <w:rFonts w:ascii="Times New Roman" w:eastAsia="Times New Roman" w:hAnsi="Times New Roman" w:cs="Times New Roman"/>
          <w:sz w:val="24"/>
          <w:szCs w:val="24"/>
          <w:vertAlign w:val="subscript"/>
          <w:lang w:eastAsia="ru-RU"/>
        </w:rPr>
        <w:t> ср</w:t>
      </w:r>
      <w:r w:rsidRPr="007020C2">
        <w:rPr>
          <w:rFonts w:ascii="Times New Roman" w:eastAsia="Times New Roman" w:hAnsi="Times New Roman" w:cs="Times New Roman"/>
          <w:sz w:val="24"/>
          <w:szCs w:val="24"/>
          <w:lang w:eastAsia="ru-RU"/>
        </w:rPr>
        <w:t>)/100%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Рз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(5,8)  = (22,4×5,8)/100 = 1,30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eastAsia="ru-RU"/>
        </w:rPr>
        <w:t>2 </w:t>
      </w:r>
      <w:r w:rsidRPr="007020C2">
        <w:rPr>
          <w:rFonts w:ascii="Times New Roman" w:eastAsia="Times New Roman" w:hAnsi="Times New Roman" w:cs="Times New Roman"/>
          <w:sz w:val="24"/>
          <w:szCs w:val="24"/>
          <w:lang w:eastAsia="ru-RU"/>
        </w:rPr>
        <w:t>, что  эквивалентно 13000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/га</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или методом линейной интерполяции по табличным значениям.</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5) Проверяются условия соблюдения норматива:</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кв  ≤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иРз кв  ≤ Рз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Они выполняются, поскольку 20,4&lt; 22,4  и  11700 &lt; 13000.</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Следовательно, коэффициент застройки и плотность застройки квартала жилыми домами в данном примере соответствуют местным нормативам.</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Пример 2</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Дано</w:t>
      </w:r>
      <w:r w:rsidRPr="007020C2">
        <w:rPr>
          <w:rFonts w:ascii="Times New Roman" w:eastAsia="Times New Roman" w:hAnsi="Times New Roman" w:cs="Times New Roman"/>
          <w:sz w:val="24"/>
          <w:szCs w:val="24"/>
          <w:lang w:eastAsia="ru-RU"/>
        </w:rPr>
        <w:t>: в городе на территории жилого квартала площадью Sкв = 28000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размещено 7 многоквартирных жилых домов со следующими параметрами:</w:t>
      </w:r>
    </w:p>
    <w:tbl>
      <w:tblPr>
        <w:tblW w:w="6380" w:type="dxa"/>
        <w:tblInd w:w="150" w:type="dxa"/>
        <w:tblCellMar>
          <w:left w:w="0" w:type="dxa"/>
          <w:right w:w="0" w:type="dxa"/>
        </w:tblCellMar>
        <w:tblLook w:val="04A0"/>
      </w:tblPr>
      <w:tblGrid>
        <w:gridCol w:w="1985"/>
        <w:gridCol w:w="2268"/>
        <w:gridCol w:w="2127"/>
      </w:tblGrid>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Индекс дома,</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i = 1, 2, …n</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Площадь застройки дома,</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Sз </w:t>
            </w:r>
            <w:r w:rsidRPr="007020C2">
              <w:rPr>
                <w:rFonts w:ascii="Times New Roman" w:eastAsia="Times New Roman" w:hAnsi="Times New Roman" w:cs="Times New Roman"/>
                <w:vertAlign w:val="subscript"/>
                <w:lang w:eastAsia="ru-RU"/>
              </w:rPr>
              <w:t>i</w:t>
            </w:r>
            <w:r w:rsidRPr="007020C2">
              <w:rPr>
                <w:rFonts w:ascii="Times New Roman" w:eastAsia="Times New Roman" w:hAnsi="Times New Roman" w:cs="Times New Roman"/>
                <w:lang w:eastAsia="ru-RU"/>
              </w:rPr>
              <w:t>,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vertAlign w:val="subscript"/>
                <w:lang w:eastAsia="ru-RU"/>
              </w:rPr>
              <w: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Этажность дома,</w:t>
            </w:r>
          </w:p>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Nэт</w:t>
            </w:r>
            <w:r w:rsidRPr="007020C2">
              <w:rPr>
                <w:rFonts w:ascii="Times New Roman" w:eastAsia="Times New Roman" w:hAnsi="Times New Roman" w:cs="Times New Roman"/>
                <w:vertAlign w:val="subscript"/>
                <w:lang w:eastAsia="ru-RU"/>
              </w:rPr>
              <w:t> i</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r>
      <w:tr w:rsidR="00E567AD" w:rsidRPr="007020C2" w:rsidTr="00E567A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E567AD">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9</w:t>
            </w:r>
          </w:p>
        </w:tc>
      </w:tr>
    </w:tbl>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Поэтажные площади на этажах каждого дома одинаковы и равны площади застройки. Первый этаж 5 этажного дома с индексом i=5 полностью занят объектами торговли и общественного питания, коммунально</w:t>
      </w:r>
      <w:r w:rsidR="00CA3372"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В квартале проживает 1100 жителей, из них 80 в планируемых к сносу домах.</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Требуется</w:t>
      </w:r>
      <w:r w:rsidRPr="007020C2">
        <w:rPr>
          <w:rFonts w:ascii="Times New Roman" w:eastAsia="Times New Roman" w:hAnsi="Times New Roman" w:cs="Times New Roman"/>
          <w:sz w:val="24"/>
          <w:szCs w:val="24"/>
          <w:lang w:eastAsia="ru-RU"/>
        </w:rPr>
        <w:t>: определить параметры планируемого нового дома (этажность и количество секций) при условии соблюдения местных нормативов по застройке квартала и достижения наибольшей суммарной поэтажной площади нового дома, оценить нормативную потребность в дошкольных и в общеобразовательных организациях (школах), проверить соблюдение норматива обеспеченности объектами торговли и общественного питания, коммунально</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lastRenderedPageBreak/>
        <w:t>Решение: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 Определяется суммарная площадь застройки всех сохраняемых домов в квартале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 Sз </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900+900+900+900+900 = 4500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 Определяется суммарная поэтажная площадь сохраняемых домов в квартале Sэт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Sэт</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 ∑ ( Sз</w:t>
      </w:r>
      <w:r w:rsidRPr="007020C2">
        <w:rPr>
          <w:rFonts w:ascii="Times New Roman" w:eastAsia="Times New Roman" w:hAnsi="Times New Roman" w:cs="Times New Roman"/>
          <w:sz w:val="24"/>
          <w:szCs w:val="24"/>
          <w:vertAlign w:val="subscript"/>
          <w:lang w:eastAsia="ru-RU"/>
        </w:rPr>
        <w:t>i </w:t>
      </w:r>
      <w:r w:rsidRPr="007020C2">
        <w:rPr>
          <w:rFonts w:ascii="Times New Roman" w:eastAsia="Times New Roman" w:hAnsi="Times New Roman" w:cs="Times New Roman"/>
          <w:sz w:val="24"/>
          <w:szCs w:val="24"/>
          <w:lang w:eastAsia="ru-RU"/>
        </w:rPr>
        <w:t>× Nэт </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Sэт</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=900×5+900×5+900×5+900×9+900×9 = 29700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 Определяется  средняя этажность сохраняемых домов 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Sэт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29700 / 4500 = 6,6.</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4) По таблице 1 местных нормативов для полученной нецелочисленной средней этажности  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6,6 методом линейной интерполяции определяется максимальный коэффициент застройки части территории квартала жилыми домами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(6,6)</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(6,6) =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(6) + (6,6</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6) ×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xml:space="preserve">(7)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(6)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xml:space="preserve">(6,6) = 21,9 + 0,6 × (19,8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21,9) =20,6%.</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5) Минимальная потребность в территории в границах квартала для сохраняемых домов с площадью застройки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и средней этажностью 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6,6 определяется по формуле:</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Sтр =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(Kз 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/100%);</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Sтр = 4500 / (20,6 / 100) = 21800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6) Максимальная площадь части квартала, которая может быть выделена для нового строительства Sстр = Sкв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Sтр = 28000 – 21800 = 6200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7) На части территории квартала площадью Sстр при максимальной (нормативной) плотности застройки Рз</w:t>
      </w:r>
      <w:r w:rsidR="006B6B83" w:rsidRPr="007020C2">
        <w:rPr>
          <w:rFonts w:ascii="Times New Roman" w:eastAsia="Times New Roman" w:hAnsi="Times New Roman" w:cs="Times New Roman"/>
          <w:sz w:val="24"/>
          <w:szCs w:val="24"/>
          <w:lang w:eastAsia="ru-RU"/>
        </w:rPr>
        <w:t> </w:t>
      </w:r>
      <w:r w:rsidRPr="007020C2">
        <w:rPr>
          <w:rFonts w:ascii="Times New Roman" w:eastAsia="Times New Roman" w:hAnsi="Times New Roman" w:cs="Times New Roman"/>
          <w:sz w:val="24"/>
          <w:szCs w:val="24"/>
          <w:lang w:eastAsia="ru-RU"/>
        </w:rPr>
        <w:t>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может быть построено здание или несколько зданий с  суммарной поэтажной площадью Sз </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=S стр × Рз</w:t>
      </w:r>
      <w:r w:rsidR="006B6B83" w:rsidRPr="007020C2">
        <w:rPr>
          <w:rFonts w:ascii="Times New Roman" w:eastAsia="Times New Roman" w:hAnsi="Times New Roman" w:cs="Times New Roman"/>
          <w:sz w:val="24"/>
          <w:szCs w:val="24"/>
          <w:lang w:eastAsia="ru-RU"/>
        </w:rPr>
        <w:t> </w:t>
      </w:r>
      <w:r w:rsidRPr="007020C2">
        <w:rPr>
          <w:rFonts w:ascii="Times New Roman" w:eastAsia="Times New Roman" w:hAnsi="Times New Roman" w:cs="Times New Roman"/>
          <w:sz w:val="24"/>
          <w:szCs w:val="24"/>
          <w:lang w:eastAsia="ru-RU"/>
        </w:rPr>
        <w:t>кв </w:t>
      </w:r>
      <w:r w:rsidRPr="007020C2">
        <w:rPr>
          <w:rFonts w:ascii="Times New Roman" w:eastAsia="Times New Roman" w:hAnsi="Times New Roman" w:cs="Times New Roman"/>
          <w:sz w:val="24"/>
          <w:szCs w:val="24"/>
          <w:vertAlign w:val="superscript"/>
          <w:lang w:eastAsia="ru-RU"/>
        </w:rPr>
        <w:t>max</w:t>
      </w:r>
      <w:r w:rsidRPr="007020C2">
        <w:rPr>
          <w:rFonts w:ascii="Times New Roman" w:eastAsia="Times New Roman" w:hAnsi="Times New Roman" w:cs="Times New Roman"/>
          <w:sz w:val="24"/>
          <w:szCs w:val="24"/>
          <w:lang w:eastAsia="ru-RU"/>
        </w:rPr>
        <w:t> . При максимальной для нового строительства этажности 7 этажей и соответствующей ей максимальной (нормативной) плотности застройки 1,39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eastAsia="ru-RU"/>
        </w:rPr>
        <w:t>2 </w:t>
      </w:r>
      <w:r w:rsidRPr="007020C2">
        <w:rPr>
          <w:rFonts w:ascii="Times New Roman" w:eastAsia="Times New Roman" w:hAnsi="Times New Roman" w:cs="Times New Roman"/>
          <w:sz w:val="24"/>
          <w:szCs w:val="24"/>
          <w:lang w:eastAsia="ru-RU"/>
        </w:rPr>
        <w:t>Sз </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=6200 × 1,39 = 8620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С учетом площади одной семиэтажной секции 7×300 =2100м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может быть построено максимум 4 секций общей площадью 2100 × 4 =8400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8) При расчетной обеспеченности жителей площадью дома 28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/чел. в новом доме площадью 8400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могут поселиться 8400/28 = 300 человек.</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9) Для 300 жителей нового дома с учетом принятой в нормативах градостроительного проектирования Московской области обеспеченности местами в дошкольных образовательных организациях не менее 65 мест/тыс. чел. и в общеобразовательных организациях (школах)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не менее 135 мест/тыс. чел.  потребуется  300 × 65/1000 = 20 мест  и  300 × 135/1000 = 41 место соответственно.</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10) Определяется обеспеченность планируемого состава населения квартала объектами обслуживания (торговли и общественного питания, коммунально</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С учетом выбытия жильцов сносимых домов и пополнением жильцами нового дома в квартале 1100</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80+300=1320 человек. Для размещения указанных объектов обслуживания при средней этажности домов в квартале (включая новый дом)</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Nэт</w:t>
      </w:r>
      <w:r w:rsidRPr="007020C2">
        <w:rPr>
          <w:rFonts w:ascii="Times New Roman" w:eastAsia="Times New Roman" w:hAnsi="Times New Roman" w:cs="Times New Roman"/>
          <w:sz w:val="24"/>
          <w:szCs w:val="24"/>
          <w:vertAlign w:val="subscript"/>
          <w:lang w:eastAsia="ru-RU"/>
        </w:rPr>
        <w:t>ср</w:t>
      </w:r>
      <w:r w:rsidRPr="007020C2">
        <w:rPr>
          <w:rFonts w:ascii="Times New Roman" w:eastAsia="Times New Roman" w:hAnsi="Times New Roman" w:cs="Times New Roman"/>
          <w:sz w:val="24"/>
          <w:szCs w:val="24"/>
          <w:lang w:eastAsia="ru-RU"/>
        </w:rPr>
        <w:t> = (29700+8400) / (4500+1200) = 6,7</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и соответствующей нормативной потребности в расчете на одного жителя (см. строки 2 и 3 таблицы 6) 0,30+0,13 = 0,43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/чел. площадь требуемой территории  0,43× 1320=568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lastRenderedPageBreak/>
        <w:t>На такой территории при нормативной плотности 1,22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застройки 5 этажными домами могут разместиться встроенные объекты площадью 568×1,22=692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,что меньше используемой площади первого этажа 900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 Следовательно, обеспечение населения квартала объектами торговли и общественного питания, коммунально</w:t>
      </w:r>
      <w:r w:rsidR="00F26A2F"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бытового назначения соответствует нормативу.</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b/>
          <w:bCs/>
          <w:sz w:val="24"/>
          <w:szCs w:val="24"/>
          <w:bdr w:val="none" w:sz="0" w:space="0" w:color="auto" w:frame="1"/>
          <w:lang w:eastAsia="ru-RU"/>
        </w:rPr>
        <w:t>Пример 3</w:t>
      </w:r>
    </w:p>
    <w:p w:rsidR="00F639AF" w:rsidRPr="007020C2" w:rsidRDefault="00F639AF" w:rsidP="00E45CC8">
      <w:pPr>
        <w:spacing w:after="0"/>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Дано</w:t>
      </w:r>
      <w:r w:rsidRPr="007020C2">
        <w:rPr>
          <w:rFonts w:ascii="Times New Roman" w:eastAsia="Times New Roman" w:hAnsi="Times New Roman" w:cs="Times New Roman"/>
          <w:sz w:val="24"/>
          <w:szCs w:val="24"/>
          <w:lang w:eastAsia="ru-RU"/>
        </w:rPr>
        <w:t>: в рабочем посёлке на территории жилого квартала (части квартала) площадью Sкв = 17000 м</w:t>
      </w:r>
      <w:r w:rsidRPr="007020C2">
        <w:rPr>
          <w:rFonts w:ascii="Times New Roman" w:eastAsia="Times New Roman" w:hAnsi="Times New Roman" w:cs="Times New Roman"/>
          <w:sz w:val="24"/>
          <w:szCs w:val="24"/>
          <w:vertAlign w:val="superscript"/>
          <w:lang w:eastAsia="ru-RU"/>
        </w:rPr>
        <w:t>2 </w:t>
      </w:r>
      <w:r w:rsidRPr="007020C2">
        <w:rPr>
          <w:rFonts w:ascii="Times New Roman" w:eastAsia="Times New Roman" w:hAnsi="Times New Roman" w:cs="Times New Roman"/>
          <w:sz w:val="24"/>
          <w:szCs w:val="24"/>
          <w:lang w:eastAsia="ru-RU"/>
        </w:rPr>
        <w:t>размещено 4 многоквартирных жилых дома со следующими параметрами:</w:t>
      </w:r>
    </w:p>
    <w:tbl>
      <w:tblPr>
        <w:tblW w:w="6521" w:type="dxa"/>
        <w:tblInd w:w="150" w:type="dxa"/>
        <w:tblCellMar>
          <w:left w:w="0" w:type="dxa"/>
          <w:right w:w="0" w:type="dxa"/>
        </w:tblCellMar>
        <w:tblLook w:val="04A0"/>
      </w:tblPr>
      <w:tblGrid>
        <w:gridCol w:w="1985"/>
        <w:gridCol w:w="2410"/>
        <w:gridCol w:w="2126"/>
      </w:tblGrid>
      <w:tr w:rsidR="009C4EA0" w:rsidRPr="007020C2" w:rsidTr="009C4EA0">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Индекс дома,</w:t>
            </w:r>
          </w:p>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i = 1, 2, …n</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Площадь застройки дома,</w:t>
            </w:r>
          </w:p>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Sз </w:t>
            </w:r>
            <w:r w:rsidRPr="007020C2">
              <w:rPr>
                <w:rFonts w:ascii="Times New Roman" w:eastAsia="Times New Roman" w:hAnsi="Times New Roman" w:cs="Times New Roman"/>
                <w:vertAlign w:val="subscript"/>
                <w:lang w:eastAsia="ru-RU"/>
              </w:rPr>
              <w:t>i  </w:t>
            </w:r>
            <w:r w:rsidRPr="007020C2">
              <w:rPr>
                <w:rFonts w:ascii="Times New Roman" w:eastAsia="Times New Roman" w:hAnsi="Times New Roman" w:cs="Times New Roman"/>
                <w:lang w:eastAsia="ru-RU"/>
              </w:rPr>
              <w:t>, м</w:t>
            </w:r>
            <w:r w:rsidRPr="007020C2">
              <w:rPr>
                <w:rFonts w:ascii="Times New Roman" w:eastAsia="Times New Roman" w:hAnsi="Times New Roman" w:cs="Times New Roman"/>
                <w:vertAlign w:val="superscript"/>
                <w:lang w:eastAsia="ru-RU"/>
              </w:rPr>
              <w:t>2</w:t>
            </w:r>
            <w:r w:rsidRPr="007020C2">
              <w:rPr>
                <w:rFonts w:ascii="Times New Roman" w:eastAsia="Times New Roman" w:hAnsi="Times New Roman" w:cs="Times New Roman"/>
                <w:vertAlign w:val="subscript"/>
                <w:lang w:eastAsia="ru-RU"/>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Этажность дома,</w:t>
            </w:r>
          </w:p>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Nэт</w:t>
            </w:r>
            <w:r w:rsidRPr="007020C2">
              <w:rPr>
                <w:rFonts w:ascii="Times New Roman" w:eastAsia="Times New Roman" w:hAnsi="Times New Roman" w:cs="Times New Roman"/>
                <w:vertAlign w:val="subscript"/>
                <w:lang w:eastAsia="ru-RU"/>
              </w:rPr>
              <w:t> i</w:t>
            </w:r>
          </w:p>
        </w:tc>
      </w:tr>
      <w:tr w:rsidR="009C4EA0" w:rsidRPr="007020C2" w:rsidTr="00245249">
        <w:trPr>
          <w:trHeight w:val="170"/>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r>
      <w:tr w:rsidR="009C4EA0" w:rsidRPr="007020C2" w:rsidTr="009C4EA0">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r>
      <w:tr w:rsidR="009C4EA0" w:rsidRPr="007020C2" w:rsidTr="009C4EA0">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5</w:t>
            </w:r>
          </w:p>
        </w:tc>
      </w:tr>
      <w:tr w:rsidR="009C4EA0" w:rsidRPr="007020C2" w:rsidTr="009C4EA0">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1200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hideMark/>
          </w:tcPr>
          <w:p w:rsidR="00F639AF" w:rsidRPr="007020C2" w:rsidRDefault="00F639AF" w:rsidP="009C4EA0">
            <w:pPr>
              <w:spacing w:after="0" w:line="240" w:lineRule="auto"/>
              <w:jc w:val="center"/>
              <w:textAlignment w:val="baseline"/>
              <w:rPr>
                <w:rFonts w:ascii="Times New Roman" w:eastAsia="Times New Roman" w:hAnsi="Times New Roman" w:cs="Times New Roman"/>
                <w:lang w:eastAsia="ru-RU"/>
              </w:rPr>
            </w:pPr>
            <w:r w:rsidRPr="007020C2">
              <w:rPr>
                <w:rFonts w:ascii="Times New Roman" w:eastAsia="Times New Roman" w:hAnsi="Times New Roman" w:cs="Times New Roman"/>
                <w:lang w:eastAsia="ru-RU"/>
              </w:rPr>
              <w:t>7</w:t>
            </w:r>
          </w:p>
        </w:tc>
      </w:tr>
    </w:tbl>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Поэтажные площади на этажах каждого дома одинаковы и равны площади застройки.</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Требуется</w:t>
      </w:r>
      <w:r w:rsidRPr="007020C2">
        <w:rPr>
          <w:rFonts w:ascii="Times New Roman" w:eastAsia="Times New Roman" w:hAnsi="Times New Roman" w:cs="Times New Roman"/>
          <w:sz w:val="24"/>
          <w:szCs w:val="24"/>
          <w:lang w:eastAsia="ru-RU"/>
        </w:rPr>
        <w:t>: определить для целей межевания площади земельных участков под каждый жилой дом и площадь возможно свободного участка.</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u w:val="single"/>
          <w:bdr w:val="none" w:sz="0" w:space="0" w:color="auto" w:frame="1"/>
          <w:lang w:eastAsia="ru-RU"/>
        </w:rPr>
        <w:t>Решение:</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1) Минимальная потребность территории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для каждого дома с учетом максимального коэффициента застройки, соответствующего этажности (см. таблица 1), определяется по формуле:</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val="en-US" w:eastAsia="ru-RU"/>
        </w:rPr>
      </w:pPr>
      <w:r w:rsidRPr="007020C2">
        <w:rPr>
          <w:rFonts w:ascii="Times New Roman" w:eastAsia="Times New Roman" w:hAnsi="Times New Roman" w:cs="Times New Roman"/>
          <w:sz w:val="24"/>
          <w:szCs w:val="24"/>
          <w:lang w:val="en-US" w:eastAsia="ru-RU"/>
        </w:rPr>
        <w:t>S</w:t>
      </w:r>
      <w:r w:rsidRPr="007020C2">
        <w:rPr>
          <w:rFonts w:ascii="Times New Roman" w:eastAsia="Times New Roman" w:hAnsi="Times New Roman" w:cs="Times New Roman"/>
          <w:sz w:val="24"/>
          <w:szCs w:val="24"/>
          <w:lang w:eastAsia="ru-RU"/>
        </w:rPr>
        <w:t>тр</w:t>
      </w:r>
      <w:r w:rsidRPr="007020C2">
        <w:rPr>
          <w:rFonts w:ascii="Times New Roman" w:eastAsia="Times New Roman" w:hAnsi="Times New Roman" w:cs="Times New Roman"/>
          <w:sz w:val="24"/>
          <w:szCs w:val="24"/>
          <w:vertAlign w:val="superscript"/>
          <w:lang w:val="en-US" w:eastAsia="ru-RU"/>
        </w:rPr>
        <w:t>min</w:t>
      </w:r>
      <w:r w:rsidRPr="007020C2">
        <w:rPr>
          <w:rFonts w:ascii="Times New Roman" w:eastAsia="Times New Roman" w:hAnsi="Times New Roman" w:cs="Times New Roman"/>
          <w:sz w:val="24"/>
          <w:szCs w:val="24"/>
          <w:vertAlign w:val="subscript"/>
          <w:lang w:val="en-US" w:eastAsia="ru-RU"/>
        </w:rPr>
        <w:t>i</w:t>
      </w:r>
      <w:r w:rsidRPr="007020C2">
        <w:rPr>
          <w:rFonts w:ascii="Times New Roman" w:eastAsia="Times New Roman" w:hAnsi="Times New Roman" w:cs="Times New Roman"/>
          <w:sz w:val="24"/>
          <w:szCs w:val="24"/>
          <w:lang w:val="en-US" w:eastAsia="ru-RU"/>
        </w:rPr>
        <w:t> = S</w:t>
      </w:r>
      <w:r w:rsidRPr="007020C2">
        <w:rPr>
          <w:rFonts w:ascii="Times New Roman" w:eastAsia="Times New Roman" w:hAnsi="Times New Roman" w:cs="Times New Roman"/>
          <w:sz w:val="24"/>
          <w:szCs w:val="24"/>
          <w:lang w:eastAsia="ru-RU"/>
        </w:rPr>
        <w:t>з</w:t>
      </w:r>
      <w:r w:rsidRPr="007020C2">
        <w:rPr>
          <w:rFonts w:ascii="Times New Roman" w:eastAsia="Times New Roman" w:hAnsi="Times New Roman" w:cs="Times New Roman"/>
          <w:sz w:val="24"/>
          <w:szCs w:val="24"/>
          <w:lang w:val="en-US" w:eastAsia="ru-RU"/>
        </w:rPr>
        <w:t> </w:t>
      </w:r>
      <w:r w:rsidRPr="007020C2">
        <w:rPr>
          <w:rFonts w:ascii="Times New Roman" w:eastAsia="Times New Roman" w:hAnsi="Times New Roman" w:cs="Times New Roman"/>
          <w:sz w:val="24"/>
          <w:szCs w:val="24"/>
          <w:vertAlign w:val="subscript"/>
          <w:lang w:val="en-US" w:eastAsia="ru-RU"/>
        </w:rPr>
        <w:t>i  </w:t>
      </w:r>
      <w:r w:rsidRPr="007020C2">
        <w:rPr>
          <w:rFonts w:ascii="Times New Roman" w:eastAsia="Times New Roman" w:hAnsi="Times New Roman" w:cs="Times New Roman"/>
          <w:sz w:val="24"/>
          <w:szCs w:val="24"/>
          <w:lang w:val="en-US" w:eastAsia="ru-RU"/>
        </w:rPr>
        <w:t>/ (K</w:t>
      </w:r>
      <w:r w:rsidRPr="007020C2">
        <w:rPr>
          <w:rFonts w:ascii="Times New Roman" w:eastAsia="Times New Roman" w:hAnsi="Times New Roman" w:cs="Times New Roman"/>
          <w:sz w:val="24"/>
          <w:szCs w:val="24"/>
          <w:lang w:eastAsia="ru-RU"/>
        </w:rPr>
        <w:t>зкв</w:t>
      </w:r>
      <w:r w:rsidRPr="007020C2">
        <w:rPr>
          <w:rFonts w:ascii="Times New Roman" w:eastAsia="Times New Roman" w:hAnsi="Times New Roman" w:cs="Times New Roman"/>
          <w:sz w:val="24"/>
          <w:szCs w:val="24"/>
          <w:lang w:val="en-US" w:eastAsia="ru-RU"/>
        </w:rPr>
        <w:t> </w:t>
      </w:r>
      <w:r w:rsidRPr="007020C2">
        <w:rPr>
          <w:rFonts w:ascii="Times New Roman" w:eastAsia="Times New Roman" w:hAnsi="Times New Roman" w:cs="Times New Roman"/>
          <w:sz w:val="24"/>
          <w:szCs w:val="24"/>
          <w:vertAlign w:val="superscript"/>
          <w:lang w:val="en-US" w:eastAsia="ru-RU"/>
        </w:rPr>
        <w:t>max</w:t>
      </w:r>
      <w:r w:rsidRPr="007020C2">
        <w:rPr>
          <w:rFonts w:ascii="Times New Roman" w:eastAsia="Times New Roman" w:hAnsi="Times New Roman" w:cs="Times New Roman"/>
          <w:sz w:val="24"/>
          <w:szCs w:val="24"/>
          <w:lang w:val="en-US" w:eastAsia="ru-RU"/>
        </w:rPr>
        <w:t>(N</w:t>
      </w:r>
      <w:r w:rsidRPr="007020C2">
        <w:rPr>
          <w:rFonts w:ascii="Times New Roman" w:eastAsia="Times New Roman" w:hAnsi="Times New Roman" w:cs="Times New Roman"/>
          <w:sz w:val="24"/>
          <w:szCs w:val="24"/>
          <w:lang w:eastAsia="ru-RU"/>
        </w:rPr>
        <w:t>эт</w:t>
      </w:r>
      <w:r w:rsidRPr="007020C2">
        <w:rPr>
          <w:rFonts w:ascii="Times New Roman" w:eastAsia="Times New Roman" w:hAnsi="Times New Roman" w:cs="Times New Roman"/>
          <w:sz w:val="24"/>
          <w:szCs w:val="24"/>
          <w:vertAlign w:val="subscript"/>
          <w:lang w:val="en-US" w:eastAsia="ru-RU"/>
        </w:rPr>
        <w:t> i</w:t>
      </w:r>
      <w:r w:rsidRPr="007020C2">
        <w:rPr>
          <w:rFonts w:ascii="Times New Roman" w:eastAsia="Times New Roman" w:hAnsi="Times New Roman" w:cs="Times New Roman"/>
          <w:sz w:val="24"/>
          <w:szCs w:val="24"/>
          <w:lang w:val="en-US" w:eastAsia="ru-RU"/>
        </w:rPr>
        <w:t>) / 100%);</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val="en-US" w:eastAsia="ru-RU"/>
        </w:rPr>
      </w:pPr>
      <w:r w:rsidRPr="007020C2">
        <w:rPr>
          <w:rFonts w:ascii="Times New Roman" w:eastAsia="Times New Roman" w:hAnsi="Times New Roman" w:cs="Times New Roman"/>
          <w:sz w:val="24"/>
          <w:szCs w:val="24"/>
          <w:lang w:val="en-US" w:eastAsia="ru-RU"/>
        </w:rPr>
        <w:t>S</w:t>
      </w:r>
      <w:r w:rsidRPr="007020C2">
        <w:rPr>
          <w:rFonts w:ascii="Times New Roman" w:eastAsia="Times New Roman" w:hAnsi="Times New Roman" w:cs="Times New Roman"/>
          <w:sz w:val="24"/>
          <w:szCs w:val="24"/>
          <w:lang w:eastAsia="ru-RU"/>
        </w:rPr>
        <w:t>тр</w:t>
      </w:r>
      <w:r w:rsidRPr="007020C2">
        <w:rPr>
          <w:rFonts w:ascii="Times New Roman" w:eastAsia="Times New Roman" w:hAnsi="Times New Roman" w:cs="Times New Roman"/>
          <w:sz w:val="24"/>
          <w:szCs w:val="24"/>
          <w:vertAlign w:val="superscript"/>
          <w:lang w:val="en-US" w:eastAsia="ru-RU"/>
        </w:rPr>
        <w:t>min</w:t>
      </w:r>
      <w:r w:rsidRPr="007020C2">
        <w:rPr>
          <w:rFonts w:ascii="Times New Roman" w:eastAsia="Times New Roman" w:hAnsi="Times New Roman" w:cs="Times New Roman"/>
          <w:sz w:val="24"/>
          <w:szCs w:val="24"/>
          <w:vertAlign w:val="subscript"/>
          <w:lang w:val="en-US" w:eastAsia="ru-RU"/>
        </w:rPr>
        <w:t>1</w:t>
      </w:r>
      <w:r w:rsidRPr="007020C2">
        <w:rPr>
          <w:rFonts w:ascii="Times New Roman" w:eastAsia="Times New Roman" w:hAnsi="Times New Roman" w:cs="Times New Roman"/>
          <w:sz w:val="24"/>
          <w:szCs w:val="24"/>
          <w:lang w:val="en-US" w:eastAsia="ru-RU"/>
        </w:rPr>
        <w:t> = 500</w:t>
      </w:r>
      <w:r w:rsidRPr="007020C2">
        <w:rPr>
          <w:rFonts w:ascii="Times New Roman" w:eastAsia="Times New Roman" w:hAnsi="Times New Roman" w:cs="Times New Roman"/>
          <w:sz w:val="24"/>
          <w:szCs w:val="24"/>
          <w:vertAlign w:val="subscript"/>
          <w:lang w:val="en-US" w:eastAsia="ru-RU"/>
        </w:rPr>
        <w:t>  </w:t>
      </w:r>
      <w:r w:rsidRPr="007020C2">
        <w:rPr>
          <w:rFonts w:ascii="Times New Roman" w:eastAsia="Times New Roman" w:hAnsi="Times New Roman" w:cs="Times New Roman"/>
          <w:sz w:val="24"/>
          <w:szCs w:val="24"/>
          <w:lang w:val="en-US" w:eastAsia="ru-RU"/>
        </w:rPr>
        <w:t xml:space="preserve">/ (37,3 / 100) = 1340 </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val="en-US" w:eastAsia="ru-RU"/>
        </w:rPr>
        <w:t>2</w:t>
      </w:r>
      <w:r w:rsidRPr="007020C2">
        <w:rPr>
          <w:rFonts w:ascii="Times New Roman" w:eastAsia="Times New Roman" w:hAnsi="Times New Roman" w:cs="Times New Roman"/>
          <w:sz w:val="24"/>
          <w:szCs w:val="24"/>
          <w:lang w:val="en-US"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val="en-US" w:eastAsia="ru-RU"/>
        </w:rPr>
      </w:pPr>
      <w:r w:rsidRPr="007020C2">
        <w:rPr>
          <w:rFonts w:ascii="Times New Roman" w:eastAsia="Times New Roman" w:hAnsi="Times New Roman" w:cs="Times New Roman"/>
          <w:sz w:val="24"/>
          <w:szCs w:val="24"/>
          <w:lang w:val="en-US" w:eastAsia="ru-RU"/>
        </w:rPr>
        <w:t>S</w:t>
      </w:r>
      <w:r w:rsidRPr="007020C2">
        <w:rPr>
          <w:rFonts w:ascii="Times New Roman" w:eastAsia="Times New Roman" w:hAnsi="Times New Roman" w:cs="Times New Roman"/>
          <w:sz w:val="24"/>
          <w:szCs w:val="24"/>
          <w:lang w:eastAsia="ru-RU"/>
        </w:rPr>
        <w:t>тр</w:t>
      </w:r>
      <w:r w:rsidRPr="007020C2">
        <w:rPr>
          <w:rFonts w:ascii="Times New Roman" w:eastAsia="Times New Roman" w:hAnsi="Times New Roman" w:cs="Times New Roman"/>
          <w:sz w:val="24"/>
          <w:szCs w:val="24"/>
          <w:vertAlign w:val="superscript"/>
          <w:lang w:val="en-US" w:eastAsia="ru-RU"/>
        </w:rPr>
        <w:t>min</w:t>
      </w:r>
      <w:r w:rsidRPr="007020C2">
        <w:rPr>
          <w:rFonts w:ascii="Times New Roman" w:eastAsia="Times New Roman" w:hAnsi="Times New Roman" w:cs="Times New Roman"/>
          <w:sz w:val="24"/>
          <w:szCs w:val="24"/>
          <w:vertAlign w:val="subscript"/>
          <w:lang w:val="en-US" w:eastAsia="ru-RU"/>
        </w:rPr>
        <w:t>2</w:t>
      </w:r>
      <w:r w:rsidRPr="007020C2">
        <w:rPr>
          <w:rFonts w:ascii="Times New Roman" w:eastAsia="Times New Roman" w:hAnsi="Times New Roman" w:cs="Times New Roman"/>
          <w:sz w:val="24"/>
          <w:szCs w:val="24"/>
          <w:lang w:val="en-US" w:eastAsia="ru-RU"/>
        </w:rPr>
        <w:t> = 500</w:t>
      </w:r>
      <w:r w:rsidRPr="007020C2">
        <w:rPr>
          <w:rFonts w:ascii="Times New Roman" w:eastAsia="Times New Roman" w:hAnsi="Times New Roman" w:cs="Times New Roman"/>
          <w:sz w:val="24"/>
          <w:szCs w:val="24"/>
          <w:vertAlign w:val="subscript"/>
          <w:lang w:val="en-US" w:eastAsia="ru-RU"/>
        </w:rPr>
        <w:t>  </w:t>
      </w:r>
      <w:r w:rsidRPr="007020C2">
        <w:rPr>
          <w:rFonts w:ascii="Times New Roman" w:eastAsia="Times New Roman" w:hAnsi="Times New Roman" w:cs="Times New Roman"/>
          <w:sz w:val="24"/>
          <w:szCs w:val="24"/>
          <w:lang w:val="en-US" w:eastAsia="ru-RU"/>
        </w:rPr>
        <w:t xml:space="preserve">/ (31,1 / 100) = 1610 </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val="en-US" w:eastAsia="ru-RU"/>
        </w:rPr>
        <w:t>2</w:t>
      </w:r>
      <w:r w:rsidRPr="007020C2">
        <w:rPr>
          <w:rFonts w:ascii="Times New Roman" w:eastAsia="Times New Roman" w:hAnsi="Times New Roman" w:cs="Times New Roman"/>
          <w:sz w:val="24"/>
          <w:szCs w:val="24"/>
          <w:lang w:val="en-US"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val="en-US" w:eastAsia="ru-RU"/>
        </w:rPr>
      </w:pPr>
      <w:r w:rsidRPr="007020C2">
        <w:rPr>
          <w:rFonts w:ascii="Times New Roman" w:eastAsia="Times New Roman" w:hAnsi="Times New Roman" w:cs="Times New Roman"/>
          <w:sz w:val="24"/>
          <w:szCs w:val="24"/>
          <w:lang w:val="en-US" w:eastAsia="ru-RU"/>
        </w:rPr>
        <w:t>S</w:t>
      </w:r>
      <w:r w:rsidRPr="007020C2">
        <w:rPr>
          <w:rFonts w:ascii="Times New Roman" w:eastAsia="Times New Roman" w:hAnsi="Times New Roman" w:cs="Times New Roman"/>
          <w:sz w:val="24"/>
          <w:szCs w:val="24"/>
          <w:lang w:eastAsia="ru-RU"/>
        </w:rPr>
        <w:t>тр</w:t>
      </w:r>
      <w:r w:rsidRPr="007020C2">
        <w:rPr>
          <w:rFonts w:ascii="Times New Roman" w:eastAsia="Times New Roman" w:hAnsi="Times New Roman" w:cs="Times New Roman"/>
          <w:sz w:val="24"/>
          <w:szCs w:val="24"/>
          <w:vertAlign w:val="superscript"/>
          <w:lang w:val="en-US" w:eastAsia="ru-RU"/>
        </w:rPr>
        <w:t>min</w:t>
      </w:r>
      <w:r w:rsidRPr="007020C2">
        <w:rPr>
          <w:rFonts w:ascii="Times New Roman" w:eastAsia="Times New Roman" w:hAnsi="Times New Roman" w:cs="Times New Roman"/>
          <w:sz w:val="24"/>
          <w:szCs w:val="24"/>
          <w:vertAlign w:val="subscript"/>
          <w:lang w:val="en-US" w:eastAsia="ru-RU"/>
        </w:rPr>
        <w:t>3</w:t>
      </w:r>
      <w:r w:rsidRPr="007020C2">
        <w:rPr>
          <w:rFonts w:ascii="Times New Roman" w:eastAsia="Times New Roman" w:hAnsi="Times New Roman" w:cs="Times New Roman"/>
          <w:sz w:val="24"/>
          <w:szCs w:val="24"/>
          <w:lang w:val="en-US" w:eastAsia="ru-RU"/>
        </w:rPr>
        <w:t> = 1200</w:t>
      </w:r>
      <w:r w:rsidRPr="007020C2">
        <w:rPr>
          <w:rFonts w:ascii="Times New Roman" w:eastAsia="Times New Roman" w:hAnsi="Times New Roman" w:cs="Times New Roman"/>
          <w:sz w:val="24"/>
          <w:szCs w:val="24"/>
          <w:vertAlign w:val="subscript"/>
          <w:lang w:val="en-US" w:eastAsia="ru-RU"/>
        </w:rPr>
        <w:t>  </w:t>
      </w:r>
      <w:r w:rsidRPr="007020C2">
        <w:rPr>
          <w:rFonts w:ascii="Times New Roman" w:eastAsia="Times New Roman" w:hAnsi="Times New Roman" w:cs="Times New Roman"/>
          <w:sz w:val="24"/>
          <w:szCs w:val="24"/>
          <w:lang w:val="en-US" w:eastAsia="ru-RU"/>
        </w:rPr>
        <w:t xml:space="preserve">/ (23,6 / 100) = 5080 </w:t>
      </w:r>
      <w:r w:rsidRPr="007020C2">
        <w:rPr>
          <w:rFonts w:ascii="Times New Roman" w:eastAsia="Times New Roman" w:hAnsi="Times New Roman" w:cs="Times New Roman"/>
          <w:sz w:val="24"/>
          <w:szCs w:val="24"/>
          <w:lang w:eastAsia="ru-RU"/>
        </w:rPr>
        <w:t>м</w:t>
      </w:r>
      <w:r w:rsidRPr="007020C2">
        <w:rPr>
          <w:rFonts w:ascii="Times New Roman" w:eastAsia="Times New Roman" w:hAnsi="Times New Roman" w:cs="Times New Roman"/>
          <w:sz w:val="24"/>
          <w:szCs w:val="24"/>
          <w:vertAlign w:val="superscript"/>
          <w:lang w:val="en-US" w:eastAsia="ru-RU"/>
        </w:rPr>
        <w:t>2</w:t>
      </w:r>
      <w:r w:rsidRPr="007020C2">
        <w:rPr>
          <w:rFonts w:ascii="Times New Roman" w:eastAsia="Times New Roman" w:hAnsi="Times New Roman" w:cs="Times New Roman"/>
          <w:sz w:val="24"/>
          <w:szCs w:val="24"/>
          <w:lang w:val="en-US"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4</w:t>
      </w:r>
      <w:r w:rsidRPr="007020C2">
        <w:rPr>
          <w:rFonts w:ascii="Times New Roman" w:eastAsia="Times New Roman" w:hAnsi="Times New Roman" w:cs="Times New Roman"/>
          <w:sz w:val="24"/>
          <w:szCs w:val="24"/>
          <w:lang w:eastAsia="ru-RU"/>
        </w:rPr>
        <w:t> = 1200</w:t>
      </w:r>
      <w:r w:rsidRPr="007020C2">
        <w:rPr>
          <w:rFonts w:ascii="Times New Roman" w:eastAsia="Times New Roman" w:hAnsi="Times New Roman" w:cs="Times New Roman"/>
          <w:sz w:val="24"/>
          <w:szCs w:val="24"/>
          <w:vertAlign w:val="subscript"/>
          <w:lang w:eastAsia="ru-RU"/>
        </w:rPr>
        <w:t>  </w:t>
      </w:r>
      <w:r w:rsidRPr="007020C2">
        <w:rPr>
          <w:rFonts w:ascii="Times New Roman" w:eastAsia="Times New Roman" w:hAnsi="Times New Roman" w:cs="Times New Roman"/>
          <w:sz w:val="24"/>
          <w:szCs w:val="24"/>
          <w:lang w:eastAsia="ru-RU"/>
        </w:rPr>
        <w:t>/ (19,1 / 100) = 6280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2) Суммарная минимальная потребность территории для 4 домов</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 = ∑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 1340+1610+5080+6280=14310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xml:space="preserve"> Сверхнормативный остаток территории Sкв </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 xml:space="preserve">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 =17000</w:t>
      </w:r>
      <w:r w:rsidR="00AE7596" w:rsidRPr="007020C2">
        <w:rPr>
          <w:rFonts w:ascii="Times New Roman" w:eastAsia="Times New Roman" w:hAnsi="Times New Roman" w:cs="Times New Roman"/>
          <w:sz w:val="24"/>
          <w:szCs w:val="24"/>
          <w:lang w:eastAsia="ru-RU"/>
        </w:rPr>
        <w:t>–</w:t>
      </w:r>
      <w:r w:rsidRPr="007020C2">
        <w:rPr>
          <w:rFonts w:ascii="Times New Roman" w:eastAsia="Times New Roman" w:hAnsi="Times New Roman" w:cs="Times New Roman"/>
          <w:sz w:val="24"/>
          <w:szCs w:val="24"/>
          <w:lang w:eastAsia="ru-RU"/>
        </w:rPr>
        <w:t>14310 =2690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3) Если остаток территории можно выделить в самостоятельный участок, то площадь каждого земельного участка Sзу</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принимается как минимальная потребность территории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 т.е. </w:t>
      </w:r>
      <w:r w:rsidRPr="007020C2">
        <w:rPr>
          <w:rFonts w:ascii="Times New Roman" w:eastAsia="Times New Roman" w:hAnsi="Times New Roman" w:cs="Times New Roman"/>
          <w:sz w:val="24"/>
          <w:szCs w:val="24"/>
          <w:vertAlign w:val="subscript"/>
          <w:lang w:eastAsia="ru-RU"/>
        </w:rPr>
        <w:t> </w:t>
      </w:r>
      <w:r w:rsidRPr="007020C2">
        <w:rPr>
          <w:rFonts w:ascii="Times New Roman" w:eastAsia="Times New Roman" w:hAnsi="Times New Roman" w:cs="Times New Roman"/>
          <w:sz w:val="24"/>
          <w:szCs w:val="24"/>
          <w:lang w:eastAsia="ru-RU"/>
        </w:rPr>
        <w:t>Sзу</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 </w:t>
      </w:r>
      <w:r w:rsidRPr="007020C2">
        <w:rPr>
          <w:rFonts w:ascii="Times New Roman" w:eastAsia="Times New Roman" w:hAnsi="Times New Roman" w:cs="Times New Roman"/>
          <w:sz w:val="24"/>
          <w:szCs w:val="24"/>
          <w:vertAlign w:val="subscript"/>
          <w:lang w:eastAsia="ru-RU"/>
        </w:rPr>
        <w:t> </w:t>
      </w:r>
      <w:r w:rsidRPr="007020C2">
        <w:rPr>
          <w:rFonts w:ascii="Times New Roman" w:eastAsia="Times New Roman" w:hAnsi="Times New Roman" w:cs="Times New Roman"/>
          <w:sz w:val="24"/>
          <w:szCs w:val="24"/>
          <w:lang w:eastAsia="ru-RU"/>
        </w:rPr>
        <w:t>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Если остаток территории по каким либо причинам не удается выделить в самостоятельный участок, то площадь квартала Sкв делится между земельными участками на части пропорционально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по формуле:</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Sзу</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сум</w:t>
      </w:r>
      <w:r w:rsidRPr="007020C2">
        <w:rPr>
          <w:rFonts w:ascii="Times New Roman" w:eastAsia="Times New Roman" w:hAnsi="Times New Roman" w:cs="Times New Roman"/>
          <w:sz w:val="24"/>
          <w:szCs w:val="24"/>
          <w:lang w:eastAsia="ru-RU"/>
        </w:rPr>
        <w:t>) × Sкв;</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Sзу</w:t>
      </w:r>
      <w:r w:rsidRPr="007020C2">
        <w:rPr>
          <w:rFonts w:ascii="Times New Roman" w:eastAsia="Times New Roman" w:hAnsi="Times New Roman" w:cs="Times New Roman"/>
          <w:sz w:val="24"/>
          <w:szCs w:val="24"/>
          <w:vertAlign w:val="subscript"/>
          <w:lang w:eastAsia="ru-RU"/>
        </w:rPr>
        <w:t>1 </w:t>
      </w:r>
      <w:r w:rsidRPr="007020C2">
        <w:rPr>
          <w:rFonts w:ascii="Times New Roman" w:eastAsia="Times New Roman" w:hAnsi="Times New Roman" w:cs="Times New Roman"/>
          <w:sz w:val="24"/>
          <w:szCs w:val="24"/>
          <w:lang w:eastAsia="ru-RU"/>
        </w:rPr>
        <w:t>= (1340 / 14310) × 17000 = 1590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Sзу</w:t>
      </w:r>
      <w:r w:rsidRPr="007020C2">
        <w:rPr>
          <w:rFonts w:ascii="Times New Roman" w:eastAsia="Times New Roman" w:hAnsi="Times New Roman" w:cs="Times New Roman"/>
          <w:sz w:val="24"/>
          <w:szCs w:val="24"/>
          <w:vertAlign w:val="subscript"/>
          <w:lang w:eastAsia="ru-RU"/>
        </w:rPr>
        <w:t>2 </w:t>
      </w:r>
      <w:r w:rsidRPr="007020C2">
        <w:rPr>
          <w:rFonts w:ascii="Times New Roman" w:eastAsia="Times New Roman" w:hAnsi="Times New Roman" w:cs="Times New Roman"/>
          <w:sz w:val="24"/>
          <w:szCs w:val="24"/>
          <w:lang w:eastAsia="ru-RU"/>
        </w:rPr>
        <w:t>= (1610 / 14310) × 17000 = 1910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Sзу</w:t>
      </w:r>
      <w:r w:rsidRPr="007020C2">
        <w:rPr>
          <w:rFonts w:ascii="Times New Roman" w:eastAsia="Times New Roman" w:hAnsi="Times New Roman" w:cs="Times New Roman"/>
          <w:sz w:val="24"/>
          <w:szCs w:val="24"/>
          <w:vertAlign w:val="subscript"/>
          <w:lang w:eastAsia="ru-RU"/>
        </w:rPr>
        <w:t>3 </w:t>
      </w:r>
      <w:r w:rsidRPr="007020C2">
        <w:rPr>
          <w:rFonts w:ascii="Times New Roman" w:eastAsia="Times New Roman" w:hAnsi="Times New Roman" w:cs="Times New Roman"/>
          <w:sz w:val="24"/>
          <w:szCs w:val="24"/>
          <w:lang w:eastAsia="ru-RU"/>
        </w:rPr>
        <w:t>= (5080 / 14310) × 17000 = 6030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Sзу</w:t>
      </w:r>
      <w:r w:rsidRPr="007020C2">
        <w:rPr>
          <w:rFonts w:ascii="Times New Roman" w:eastAsia="Times New Roman" w:hAnsi="Times New Roman" w:cs="Times New Roman"/>
          <w:sz w:val="24"/>
          <w:szCs w:val="24"/>
          <w:vertAlign w:val="subscript"/>
          <w:lang w:eastAsia="ru-RU"/>
        </w:rPr>
        <w:t>4 </w:t>
      </w:r>
      <w:r w:rsidRPr="007020C2">
        <w:rPr>
          <w:rFonts w:ascii="Times New Roman" w:eastAsia="Times New Roman" w:hAnsi="Times New Roman" w:cs="Times New Roman"/>
          <w:sz w:val="24"/>
          <w:szCs w:val="24"/>
          <w:lang w:eastAsia="ru-RU"/>
        </w:rPr>
        <w:t>= (7450 / 14310) × 17000 = 7470 м</w:t>
      </w:r>
      <w:r w:rsidRPr="007020C2">
        <w:rPr>
          <w:rFonts w:ascii="Times New Roman" w:eastAsia="Times New Roman" w:hAnsi="Times New Roman" w:cs="Times New Roman"/>
          <w:sz w:val="24"/>
          <w:szCs w:val="24"/>
          <w:vertAlign w:val="superscript"/>
          <w:lang w:eastAsia="ru-RU"/>
        </w:rPr>
        <w:t>2</w:t>
      </w:r>
      <w:r w:rsidRPr="007020C2">
        <w:rPr>
          <w:rFonts w:ascii="Times New Roman" w:eastAsia="Times New Roman" w:hAnsi="Times New Roman" w:cs="Times New Roman"/>
          <w:sz w:val="24"/>
          <w:szCs w:val="24"/>
          <w:lang w:eastAsia="ru-RU"/>
        </w:rPr>
        <w:t>.</w:t>
      </w:r>
    </w:p>
    <w:p w:rsidR="00F639AF" w:rsidRPr="007020C2" w:rsidRDefault="00F639AF" w:rsidP="00E45CC8">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В случае, если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сум </w:t>
      </w:r>
      <w:r w:rsidRPr="007020C2">
        <w:rPr>
          <w:rFonts w:ascii="Times New Roman" w:eastAsia="Times New Roman" w:hAnsi="Times New Roman" w:cs="Times New Roman"/>
          <w:sz w:val="24"/>
          <w:szCs w:val="24"/>
          <w:lang w:eastAsia="ru-RU"/>
        </w:rPr>
        <w:t>&gt; Sкв, приведенная формула деления площади квартала остается верной, но площади земельных участков будут меньше минимальной потребности территории Sтр</w:t>
      </w:r>
      <w:r w:rsidRPr="007020C2">
        <w:rPr>
          <w:rFonts w:ascii="Times New Roman" w:eastAsia="Times New Roman" w:hAnsi="Times New Roman" w:cs="Times New Roman"/>
          <w:sz w:val="24"/>
          <w:szCs w:val="24"/>
          <w:vertAlign w:val="superscript"/>
          <w:lang w:eastAsia="ru-RU"/>
        </w:rPr>
        <w:t>min</w:t>
      </w:r>
      <w:r w:rsidRPr="007020C2">
        <w:rPr>
          <w:rFonts w:ascii="Times New Roman" w:eastAsia="Times New Roman" w:hAnsi="Times New Roman" w:cs="Times New Roman"/>
          <w:sz w:val="24"/>
          <w:szCs w:val="24"/>
          <w:vertAlign w:val="subscript"/>
          <w:lang w:eastAsia="ru-RU"/>
        </w:rPr>
        <w:t>i</w:t>
      </w:r>
      <w:r w:rsidRPr="007020C2">
        <w:rPr>
          <w:rFonts w:ascii="Times New Roman" w:eastAsia="Times New Roman" w:hAnsi="Times New Roman" w:cs="Times New Roman"/>
          <w:sz w:val="24"/>
          <w:szCs w:val="24"/>
          <w:lang w:eastAsia="ru-RU"/>
        </w:rPr>
        <w:t>, что допускается для существующих жилых домов.</w:t>
      </w:r>
    </w:p>
    <w:p w:rsidR="00BF3992" w:rsidRPr="007020C2" w:rsidRDefault="00F639AF" w:rsidP="00D1549E">
      <w:pPr>
        <w:spacing w:after="0" w:line="23" w:lineRule="atLeast"/>
        <w:ind w:firstLine="567"/>
        <w:jc w:val="both"/>
        <w:textAlignment w:val="baseline"/>
        <w:rPr>
          <w:rFonts w:ascii="Times New Roman" w:eastAsia="Times New Roman" w:hAnsi="Times New Roman" w:cs="Times New Roman"/>
          <w:sz w:val="24"/>
          <w:szCs w:val="24"/>
          <w:lang w:eastAsia="ru-RU"/>
        </w:rPr>
      </w:pPr>
      <w:r w:rsidRPr="007020C2">
        <w:rPr>
          <w:rFonts w:ascii="Times New Roman" w:eastAsia="Times New Roman" w:hAnsi="Times New Roman" w:cs="Times New Roman"/>
          <w:sz w:val="24"/>
          <w:szCs w:val="24"/>
          <w:lang w:eastAsia="ru-RU"/>
        </w:rPr>
        <w:t> </w:t>
      </w:r>
    </w:p>
    <w:sectPr w:rsidR="00BF3992" w:rsidRPr="007020C2" w:rsidSect="00D1549E">
      <w:footerReference w:type="default" r:id="rId28"/>
      <w:pgSz w:w="11906" w:h="16838"/>
      <w:pgMar w:top="851" w:right="707"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140" w:rsidRDefault="00E72140" w:rsidP="00BF3992">
      <w:pPr>
        <w:spacing w:after="0" w:line="240" w:lineRule="auto"/>
      </w:pPr>
      <w:r>
        <w:separator/>
      </w:r>
    </w:p>
  </w:endnote>
  <w:endnote w:type="continuationSeparator" w:id="1">
    <w:p w:rsidR="00E72140" w:rsidRDefault="00E72140" w:rsidP="00BF3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987243"/>
      <w:docPartObj>
        <w:docPartGallery w:val="Page Numbers (Bottom of Page)"/>
        <w:docPartUnique/>
      </w:docPartObj>
    </w:sdtPr>
    <w:sdtContent>
      <w:p w:rsidR="00696393" w:rsidRDefault="003271EF">
        <w:pPr>
          <w:pStyle w:val="a7"/>
          <w:jc w:val="right"/>
        </w:pPr>
        <w:r>
          <w:fldChar w:fldCharType="begin"/>
        </w:r>
        <w:r w:rsidR="00696393">
          <w:instrText>PAGE   \* MERGEFORMAT</w:instrText>
        </w:r>
        <w:r>
          <w:fldChar w:fldCharType="separate"/>
        </w:r>
        <w:r w:rsidR="00D2344C">
          <w:rPr>
            <w:noProof/>
          </w:rPr>
          <w:t>1</w:t>
        </w:r>
        <w:r>
          <w:fldChar w:fldCharType="end"/>
        </w:r>
      </w:p>
    </w:sdtContent>
  </w:sdt>
  <w:p w:rsidR="00C63448" w:rsidRDefault="00C634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140" w:rsidRDefault="00E72140" w:rsidP="00BF3992">
      <w:pPr>
        <w:spacing w:after="0" w:line="240" w:lineRule="auto"/>
      </w:pPr>
      <w:r>
        <w:separator/>
      </w:r>
    </w:p>
  </w:footnote>
  <w:footnote w:type="continuationSeparator" w:id="1">
    <w:p w:rsidR="00E72140" w:rsidRDefault="00E72140" w:rsidP="00BF39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20E0"/>
    <w:multiLevelType w:val="multilevel"/>
    <w:tmpl w:val="EDE62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C62EF"/>
    <w:multiLevelType w:val="multilevel"/>
    <w:tmpl w:val="69844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F60C4"/>
    <w:multiLevelType w:val="multilevel"/>
    <w:tmpl w:val="26841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17A87"/>
    <w:multiLevelType w:val="multilevel"/>
    <w:tmpl w:val="C228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67867"/>
    <w:multiLevelType w:val="multilevel"/>
    <w:tmpl w:val="D720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1145F5"/>
    <w:multiLevelType w:val="multilevel"/>
    <w:tmpl w:val="042679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06511B"/>
    <w:multiLevelType w:val="multilevel"/>
    <w:tmpl w:val="93D6E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557F02"/>
    <w:multiLevelType w:val="multilevel"/>
    <w:tmpl w:val="7D8E2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705E11"/>
    <w:multiLevelType w:val="multilevel"/>
    <w:tmpl w:val="ED28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4C39C8"/>
    <w:multiLevelType w:val="multilevel"/>
    <w:tmpl w:val="C818C3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90063B"/>
    <w:multiLevelType w:val="multilevel"/>
    <w:tmpl w:val="575E0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3"/>
  </w:num>
  <w:num w:numId="8">
    <w:abstractNumId w:val="8"/>
  </w:num>
  <w:num w:numId="9">
    <w:abstractNumId w:val="1"/>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4D54"/>
    <w:rsid w:val="00023C42"/>
    <w:rsid w:val="00034A83"/>
    <w:rsid w:val="00053613"/>
    <w:rsid w:val="00054407"/>
    <w:rsid w:val="000569C8"/>
    <w:rsid w:val="00064DF8"/>
    <w:rsid w:val="000671E3"/>
    <w:rsid w:val="000810DE"/>
    <w:rsid w:val="000A29B0"/>
    <w:rsid w:val="000C4842"/>
    <w:rsid w:val="000D77FA"/>
    <w:rsid w:val="000E56CA"/>
    <w:rsid w:val="00142153"/>
    <w:rsid w:val="0014736D"/>
    <w:rsid w:val="00167DAB"/>
    <w:rsid w:val="00181BC8"/>
    <w:rsid w:val="00200041"/>
    <w:rsid w:val="00201CEE"/>
    <w:rsid w:val="00216305"/>
    <w:rsid w:val="0022236E"/>
    <w:rsid w:val="00245249"/>
    <w:rsid w:val="002506BD"/>
    <w:rsid w:val="002643E1"/>
    <w:rsid w:val="0027779C"/>
    <w:rsid w:val="002A0D76"/>
    <w:rsid w:val="002A0E11"/>
    <w:rsid w:val="002B3923"/>
    <w:rsid w:val="002C173A"/>
    <w:rsid w:val="002D6488"/>
    <w:rsid w:val="002E05FC"/>
    <w:rsid w:val="002F0836"/>
    <w:rsid w:val="00317B9B"/>
    <w:rsid w:val="003253D0"/>
    <w:rsid w:val="003271EF"/>
    <w:rsid w:val="003C5B3E"/>
    <w:rsid w:val="003D383A"/>
    <w:rsid w:val="00416BE9"/>
    <w:rsid w:val="00460401"/>
    <w:rsid w:val="00484F1D"/>
    <w:rsid w:val="004917A8"/>
    <w:rsid w:val="004B4624"/>
    <w:rsid w:val="004E52FA"/>
    <w:rsid w:val="004F07C3"/>
    <w:rsid w:val="00582BDC"/>
    <w:rsid w:val="00584D54"/>
    <w:rsid w:val="005859E4"/>
    <w:rsid w:val="005D139C"/>
    <w:rsid w:val="005D4F75"/>
    <w:rsid w:val="00651D64"/>
    <w:rsid w:val="00676DEE"/>
    <w:rsid w:val="006802A2"/>
    <w:rsid w:val="00696393"/>
    <w:rsid w:val="00697251"/>
    <w:rsid w:val="006B3DE9"/>
    <w:rsid w:val="006B6B83"/>
    <w:rsid w:val="006D723B"/>
    <w:rsid w:val="006E4C17"/>
    <w:rsid w:val="007020C2"/>
    <w:rsid w:val="00702A24"/>
    <w:rsid w:val="00715831"/>
    <w:rsid w:val="00737D2B"/>
    <w:rsid w:val="00780E69"/>
    <w:rsid w:val="00793A11"/>
    <w:rsid w:val="007C4C6F"/>
    <w:rsid w:val="007D4732"/>
    <w:rsid w:val="007D60B5"/>
    <w:rsid w:val="007E35EB"/>
    <w:rsid w:val="007F430F"/>
    <w:rsid w:val="0080454F"/>
    <w:rsid w:val="00807716"/>
    <w:rsid w:val="008333B5"/>
    <w:rsid w:val="00864876"/>
    <w:rsid w:val="00880563"/>
    <w:rsid w:val="008A7D89"/>
    <w:rsid w:val="008B2732"/>
    <w:rsid w:val="008D3A0C"/>
    <w:rsid w:val="00910B72"/>
    <w:rsid w:val="0091292E"/>
    <w:rsid w:val="00921CC2"/>
    <w:rsid w:val="0092442C"/>
    <w:rsid w:val="00953688"/>
    <w:rsid w:val="009C4EA0"/>
    <w:rsid w:val="009E7203"/>
    <w:rsid w:val="00A13E89"/>
    <w:rsid w:val="00A52800"/>
    <w:rsid w:val="00A66892"/>
    <w:rsid w:val="00AA1C1C"/>
    <w:rsid w:val="00AC36BF"/>
    <w:rsid w:val="00AD0612"/>
    <w:rsid w:val="00AD26E2"/>
    <w:rsid w:val="00AE7596"/>
    <w:rsid w:val="00AF15C6"/>
    <w:rsid w:val="00B44A74"/>
    <w:rsid w:val="00B54747"/>
    <w:rsid w:val="00B62609"/>
    <w:rsid w:val="00B70DDE"/>
    <w:rsid w:val="00B72154"/>
    <w:rsid w:val="00B8681B"/>
    <w:rsid w:val="00BB0C24"/>
    <w:rsid w:val="00BC0D15"/>
    <w:rsid w:val="00BC56FC"/>
    <w:rsid w:val="00BF3992"/>
    <w:rsid w:val="00C0094B"/>
    <w:rsid w:val="00C430F0"/>
    <w:rsid w:val="00C527CC"/>
    <w:rsid w:val="00C63448"/>
    <w:rsid w:val="00C70126"/>
    <w:rsid w:val="00C70185"/>
    <w:rsid w:val="00C73645"/>
    <w:rsid w:val="00C94B42"/>
    <w:rsid w:val="00CA1E20"/>
    <w:rsid w:val="00CA3372"/>
    <w:rsid w:val="00CB18DE"/>
    <w:rsid w:val="00CC4767"/>
    <w:rsid w:val="00D0136B"/>
    <w:rsid w:val="00D1549E"/>
    <w:rsid w:val="00D211A9"/>
    <w:rsid w:val="00D2344C"/>
    <w:rsid w:val="00D54D1B"/>
    <w:rsid w:val="00D60616"/>
    <w:rsid w:val="00E02283"/>
    <w:rsid w:val="00E0767B"/>
    <w:rsid w:val="00E137ED"/>
    <w:rsid w:val="00E22D88"/>
    <w:rsid w:val="00E40EA9"/>
    <w:rsid w:val="00E45CC8"/>
    <w:rsid w:val="00E567AD"/>
    <w:rsid w:val="00E72140"/>
    <w:rsid w:val="00E85F18"/>
    <w:rsid w:val="00E878D5"/>
    <w:rsid w:val="00E9577C"/>
    <w:rsid w:val="00EB77E5"/>
    <w:rsid w:val="00EE563D"/>
    <w:rsid w:val="00EF6D8C"/>
    <w:rsid w:val="00EF730C"/>
    <w:rsid w:val="00F0190B"/>
    <w:rsid w:val="00F05545"/>
    <w:rsid w:val="00F17A65"/>
    <w:rsid w:val="00F17C10"/>
    <w:rsid w:val="00F26A2F"/>
    <w:rsid w:val="00F3015E"/>
    <w:rsid w:val="00F47936"/>
    <w:rsid w:val="00F639AF"/>
    <w:rsid w:val="00F92048"/>
    <w:rsid w:val="00FA485F"/>
    <w:rsid w:val="00FA6C7D"/>
    <w:rsid w:val="00FE2D01"/>
    <w:rsid w:val="00FE4DE6"/>
    <w:rsid w:val="00FF6F04"/>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C1C"/>
  </w:style>
  <w:style w:type="paragraph" w:styleId="1">
    <w:name w:val="heading 1"/>
    <w:basedOn w:val="a"/>
    <w:link w:val="10"/>
    <w:uiPriority w:val="9"/>
    <w:qFormat/>
    <w:rsid w:val="00F639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9A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84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4D54"/>
    <w:rPr>
      <w:b/>
      <w:bCs/>
    </w:rPr>
  </w:style>
  <w:style w:type="paragraph" w:styleId="a5">
    <w:name w:val="header"/>
    <w:basedOn w:val="a"/>
    <w:link w:val="a6"/>
    <w:uiPriority w:val="99"/>
    <w:unhideWhenUsed/>
    <w:rsid w:val="00BF39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3992"/>
  </w:style>
  <w:style w:type="paragraph" w:styleId="a7">
    <w:name w:val="footer"/>
    <w:basedOn w:val="a"/>
    <w:link w:val="a8"/>
    <w:uiPriority w:val="99"/>
    <w:unhideWhenUsed/>
    <w:rsid w:val="00BF39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3992"/>
  </w:style>
  <w:style w:type="character" w:styleId="a9">
    <w:name w:val="Hyperlink"/>
    <w:basedOn w:val="a0"/>
    <w:uiPriority w:val="99"/>
    <w:semiHidden/>
    <w:unhideWhenUsed/>
    <w:rsid w:val="00F639AF"/>
    <w:rPr>
      <w:color w:val="0000FF"/>
      <w:u w:val="single"/>
    </w:rPr>
  </w:style>
  <w:style w:type="character" w:styleId="aa">
    <w:name w:val="Emphasis"/>
    <w:basedOn w:val="a0"/>
    <w:uiPriority w:val="20"/>
    <w:qFormat/>
    <w:rsid w:val="00F639AF"/>
    <w:rPr>
      <w:i/>
      <w:iCs/>
    </w:rPr>
  </w:style>
  <w:style w:type="table" w:styleId="ab">
    <w:name w:val="Table Grid"/>
    <w:basedOn w:val="a1"/>
    <w:uiPriority w:val="59"/>
    <w:rsid w:val="000A29B0"/>
    <w:pPr>
      <w:widowControl w:val="0"/>
      <w:autoSpaceDE w:val="0"/>
      <w:autoSpaceDN w:val="0"/>
      <w:adjustRightInd w:val="0"/>
      <w:spacing w:after="0"/>
      <w:ind w:firstLine="284"/>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7008865">
      <w:bodyDiv w:val="1"/>
      <w:marLeft w:val="0"/>
      <w:marRight w:val="0"/>
      <w:marTop w:val="0"/>
      <w:marBottom w:val="0"/>
      <w:divBdr>
        <w:top w:val="none" w:sz="0" w:space="0" w:color="auto"/>
        <w:left w:val="none" w:sz="0" w:space="0" w:color="auto"/>
        <w:bottom w:val="none" w:sz="0" w:space="0" w:color="auto"/>
        <w:right w:val="none" w:sz="0" w:space="0" w:color="auto"/>
      </w:divBdr>
    </w:div>
    <w:div w:id="1049764838">
      <w:bodyDiv w:val="1"/>
      <w:marLeft w:val="0"/>
      <w:marRight w:val="0"/>
      <w:marTop w:val="0"/>
      <w:marBottom w:val="0"/>
      <w:divBdr>
        <w:top w:val="none" w:sz="0" w:space="0" w:color="auto"/>
        <w:left w:val="none" w:sz="0" w:space="0" w:color="auto"/>
        <w:bottom w:val="none" w:sz="0" w:space="0" w:color="auto"/>
        <w:right w:val="none" w:sz="0" w:space="0" w:color="auto"/>
      </w:divBdr>
      <w:divsChild>
        <w:div w:id="1958640439">
          <w:marLeft w:val="0"/>
          <w:marRight w:val="0"/>
          <w:marTop w:val="0"/>
          <w:marBottom w:val="0"/>
          <w:divBdr>
            <w:top w:val="none" w:sz="0" w:space="0" w:color="auto"/>
            <w:left w:val="none" w:sz="0" w:space="0" w:color="auto"/>
            <w:bottom w:val="none" w:sz="0" w:space="0" w:color="auto"/>
            <w:right w:val="none" w:sz="0" w:space="0" w:color="auto"/>
          </w:divBdr>
          <w:divsChild>
            <w:div w:id="1383363842">
              <w:marLeft w:val="-225"/>
              <w:marRight w:val="-225"/>
              <w:marTop w:val="0"/>
              <w:marBottom w:val="0"/>
              <w:divBdr>
                <w:top w:val="none" w:sz="0" w:space="0" w:color="auto"/>
                <w:left w:val="none" w:sz="0" w:space="0" w:color="auto"/>
                <w:bottom w:val="none" w:sz="0" w:space="0" w:color="auto"/>
                <w:right w:val="none" w:sz="0" w:space="0" w:color="auto"/>
              </w:divBdr>
              <w:divsChild>
                <w:div w:id="637683365">
                  <w:marLeft w:val="0"/>
                  <w:marRight w:val="0"/>
                  <w:marTop w:val="0"/>
                  <w:marBottom w:val="0"/>
                  <w:divBdr>
                    <w:top w:val="none" w:sz="0" w:space="0" w:color="auto"/>
                    <w:left w:val="none" w:sz="0" w:space="0" w:color="auto"/>
                    <w:bottom w:val="none" w:sz="0" w:space="0" w:color="auto"/>
                    <w:right w:val="none" w:sz="0" w:space="0" w:color="auto"/>
                  </w:divBdr>
                  <w:divsChild>
                    <w:div w:id="1256479064">
                      <w:marLeft w:val="0"/>
                      <w:marRight w:val="0"/>
                      <w:marTop w:val="0"/>
                      <w:marBottom w:val="0"/>
                      <w:divBdr>
                        <w:top w:val="none" w:sz="0" w:space="0" w:color="auto"/>
                        <w:left w:val="none" w:sz="0" w:space="0" w:color="auto"/>
                        <w:bottom w:val="none" w:sz="0" w:space="0" w:color="auto"/>
                        <w:right w:val="none" w:sz="0" w:space="0" w:color="auto"/>
                      </w:divBdr>
                      <w:divsChild>
                        <w:div w:id="1958944141">
                          <w:marLeft w:val="0"/>
                          <w:marRight w:val="0"/>
                          <w:marTop w:val="0"/>
                          <w:marBottom w:val="0"/>
                          <w:divBdr>
                            <w:top w:val="none" w:sz="0" w:space="0" w:color="auto"/>
                            <w:left w:val="none" w:sz="0" w:space="0" w:color="auto"/>
                            <w:bottom w:val="none" w:sz="0" w:space="0" w:color="auto"/>
                            <w:right w:val="none" w:sz="0" w:space="0" w:color="auto"/>
                          </w:divBdr>
                          <w:divsChild>
                            <w:div w:id="414976641">
                              <w:marLeft w:val="0"/>
                              <w:marRight w:val="0"/>
                              <w:marTop w:val="0"/>
                              <w:marBottom w:val="0"/>
                              <w:divBdr>
                                <w:top w:val="none" w:sz="0" w:space="0" w:color="auto"/>
                                <w:left w:val="none" w:sz="0" w:space="0" w:color="auto"/>
                                <w:bottom w:val="none" w:sz="0" w:space="0" w:color="auto"/>
                                <w:right w:val="none" w:sz="0" w:space="0" w:color="auto"/>
                              </w:divBdr>
                              <w:divsChild>
                                <w:div w:id="1310944501">
                                  <w:marLeft w:val="0"/>
                                  <w:marRight w:val="0"/>
                                  <w:marTop w:val="0"/>
                                  <w:marBottom w:val="0"/>
                                  <w:divBdr>
                                    <w:top w:val="none" w:sz="0" w:space="0" w:color="auto"/>
                                    <w:left w:val="none" w:sz="0" w:space="0" w:color="auto"/>
                                    <w:bottom w:val="none" w:sz="0" w:space="0" w:color="auto"/>
                                    <w:right w:val="none" w:sz="0" w:space="0" w:color="auto"/>
                                  </w:divBdr>
                                  <w:divsChild>
                                    <w:div w:id="1396778849">
                                      <w:marLeft w:val="0"/>
                                      <w:marRight w:val="0"/>
                                      <w:marTop w:val="0"/>
                                      <w:marBottom w:val="0"/>
                                      <w:divBdr>
                                        <w:top w:val="none" w:sz="0" w:space="0" w:color="auto"/>
                                        <w:left w:val="none" w:sz="0" w:space="0" w:color="auto"/>
                                        <w:bottom w:val="none" w:sz="0" w:space="0" w:color="auto"/>
                                        <w:right w:val="none" w:sz="0" w:space="0" w:color="auto"/>
                                      </w:divBdr>
                                      <w:divsChild>
                                        <w:div w:id="1276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3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0%B5%D0%B7%D0%B6%D0%B0%D1%8F_%D1%87%D0%B0%D1%81%D1%82%D1%8C" TargetMode="External"/><Relationship Id="rId13" Type="http://schemas.openxmlformats.org/officeDocument/2006/relationships/hyperlink" Target="garantf1://2225092.0" TargetMode="External"/><Relationship Id="rId18" Type="http://schemas.openxmlformats.org/officeDocument/2006/relationships/hyperlink" Target="garantf1://36685000.0" TargetMode="External"/><Relationship Id="rId26" Type="http://schemas.openxmlformats.org/officeDocument/2006/relationships/hyperlink" Target="http://bogorodsky-okrug.ru/documents/proekt-mestnye-normativy-gradostroitelnogo-proektirovaniya-bogorodskogo-gorodskogo-okruga-moskovskoj-oblasti-14-10-2019/" TargetMode="External"/><Relationship Id="rId3" Type="http://schemas.openxmlformats.org/officeDocument/2006/relationships/settings" Target="settings.xml"/><Relationship Id="rId21" Type="http://schemas.openxmlformats.org/officeDocument/2006/relationships/hyperlink" Target="http://bogorodsky-okrug.ru/documents/proekt-mestnye-normativy-gradostroitelnogo-proektirovaniya-bogorodskogo-gorodskogo-okruga-moskovskoj-oblasti-14-10-2019/" TargetMode="External"/><Relationship Id="rId7" Type="http://schemas.openxmlformats.org/officeDocument/2006/relationships/hyperlink" Target="http://bogorodsky-okrug.ru/documents/proekt-mestnye-normativy-gradostroitelnogo-proektirovaniya-bogorodskogo-gorodskogo-okruga-moskovskoj-oblasti-14-10-2019/" TargetMode="External"/><Relationship Id="rId12" Type="http://schemas.openxmlformats.org/officeDocument/2006/relationships/hyperlink" Target="https://ru.wikipedia.org/wiki/%D0%94%D0%BE%D1%80%D0%BE%D0%B6%D0%BD%D0%B0%D1%8F_%D1%80%D0%B0%D0%B7%D0%BC%D0%B5%D1%82%D0%BA%D0%B0" TargetMode="External"/><Relationship Id="rId17" Type="http://schemas.openxmlformats.org/officeDocument/2006/relationships/hyperlink" Target="http://bogorodsky-okrug.ru/documents/proekt-mestnye-normativy-gradostroitelnogo-proektirovaniya-bogorodskogo-gorodskogo-okruga-moskovskoj-oblasti-14-10-2019/" TargetMode="External"/><Relationship Id="rId25" Type="http://schemas.openxmlformats.org/officeDocument/2006/relationships/hyperlink" Target="http://bogorodsky-okrug.ru/documents/proekt-mestnye-normativy-gradostroitelnogo-proektirovaniya-bogorodskogo-gorodskogo-okruga-moskovskoj-oblasti-14-10-2019/" TargetMode="External"/><Relationship Id="rId2" Type="http://schemas.openxmlformats.org/officeDocument/2006/relationships/styles" Target="styles.xml"/><Relationship Id="rId16" Type="http://schemas.openxmlformats.org/officeDocument/2006/relationships/hyperlink" Target="garantf1://36685000.0" TargetMode="External"/><Relationship Id="rId20" Type="http://schemas.openxmlformats.org/officeDocument/2006/relationships/hyperlink" Target="garantf1://3668500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1%D0%BE%D1%80%D1%82%D0%BE%D0%B2%D0%BE%D0%B9_%D0%BA%D0%B0%D0%BC%D0%B5%D0%BD%D1%8C" TargetMode="External"/><Relationship Id="rId24" Type="http://schemas.openxmlformats.org/officeDocument/2006/relationships/hyperlink" Target="http://docs.cntd.ru/document/456011260" TargetMode="External"/><Relationship Id="rId5" Type="http://schemas.openxmlformats.org/officeDocument/2006/relationships/footnotes" Target="footnotes.xml"/><Relationship Id="rId15" Type="http://schemas.openxmlformats.org/officeDocument/2006/relationships/hyperlink" Target="http://bogorodsky-okrug.ru/documents/proekt-mestnye-normativy-gradostroitelnogo-proektirovaniya-bogorodskogo-gorodskogo-okruga-moskovskoj-oblasti-14-10-2019/" TargetMode="External"/><Relationship Id="rId23" Type="http://schemas.openxmlformats.org/officeDocument/2006/relationships/hyperlink" Target="http://docs.cntd.ru/document/456011260" TargetMode="External"/><Relationship Id="rId28" Type="http://schemas.openxmlformats.org/officeDocument/2006/relationships/footer" Target="footer1.xml"/><Relationship Id="rId10" Type="http://schemas.openxmlformats.org/officeDocument/2006/relationships/hyperlink" Target="https://ru.wikipedia.org/wiki/%D0%93%D0%B0%D0%B7%D0%BE%D0%BD" TargetMode="External"/><Relationship Id="rId19" Type="http://schemas.openxmlformats.org/officeDocument/2006/relationships/hyperlink" Target="http://bogorodsky-okrug.ru/documents/proekt-mestnye-normativy-gradostroitelnogo-proektirovaniya-bogorodskogo-gorodskogo-okruga-moskovskoj-oblasti-14-10-2019/" TargetMode="External"/><Relationship Id="rId4" Type="http://schemas.openxmlformats.org/officeDocument/2006/relationships/webSettings" Target="webSettings.xml"/><Relationship Id="rId9" Type="http://schemas.openxmlformats.org/officeDocument/2006/relationships/hyperlink" Target="https://ru.wikipedia.org/w/index.php?title=%D0%A0%D0%B0%D0%B7%D0%B4%D0%B5%D0%BB%D0%B8%D1%82%D0%B5%D0%BB%D1%8C%D0%BD%D0%B0%D1%8F_%D0%BF%D0%BE%D0%BB%D0%BE%D1%81%D0%B0&amp;action=edit&amp;redlink=1" TargetMode="External"/><Relationship Id="rId14" Type="http://schemas.openxmlformats.org/officeDocument/2006/relationships/hyperlink" Target="garantf1://36693214.0/" TargetMode="External"/><Relationship Id="rId22" Type="http://schemas.openxmlformats.org/officeDocument/2006/relationships/hyperlink" Target="http://bogorodsky-okrug.ru/documents/proekt-mestnye-normativy-gradostroitelnogo-proektirovaniya-bogorodskogo-gorodskogo-okruga-moskovskoj-oblasti-14-10-2019/" TargetMode="External"/><Relationship Id="rId27" Type="http://schemas.openxmlformats.org/officeDocument/2006/relationships/hyperlink" Target="http://bogorodsky-okrug.ru/documents/proekt-mestnye-normativy-gradostroitelnogo-proektirovaniya-bogorodskogo-gorodskogo-okruga-moskovskoj-oblasti-14-10-201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17708</Words>
  <Characters>100940</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cp:lastModifiedBy>
  <cp:revision>6</cp:revision>
  <cp:lastPrinted>2019-12-17T13:08:00Z</cp:lastPrinted>
  <dcterms:created xsi:type="dcterms:W3CDTF">2019-12-18T06:13:00Z</dcterms:created>
  <dcterms:modified xsi:type="dcterms:W3CDTF">2019-12-26T08:57:00Z</dcterms:modified>
</cp:coreProperties>
</file>