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373B96E7" w14:textId="1873E1D0" w:rsidR="00A84DD8" w:rsidRPr="00A84DD8" w:rsidRDefault="001244C1" w:rsidP="00DA18FC">
      <w:pPr>
        <w:jc w:val="center"/>
        <w:rPr>
          <w:b/>
          <w:sz w:val="28"/>
          <w:szCs w:val="28"/>
        </w:rPr>
      </w:pPr>
      <w:r w:rsidRPr="00966650">
        <w:rPr>
          <w:b/>
          <w:bCs/>
          <w:sz w:val="28"/>
          <w:szCs w:val="28"/>
        </w:rPr>
        <w:t>по</w:t>
      </w:r>
      <w:r w:rsidRPr="00966650">
        <w:rPr>
          <w:b/>
          <w:sz w:val="28"/>
          <w:szCs w:val="28"/>
        </w:rPr>
        <w:t xml:space="preserve">становления </w:t>
      </w:r>
      <w:r w:rsidR="003F605B" w:rsidRPr="00043FD7">
        <w:rPr>
          <w:b/>
          <w:color w:val="000000"/>
          <w:sz w:val="28"/>
          <w:szCs w:val="28"/>
        </w:rPr>
        <w:t xml:space="preserve">администрации </w:t>
      </w:r>
      <w:r w:rsidR="003F605B">
        <w:rPr>
          <w:b/>
          <w:color w:val="000000"/>
          <w:sz w:val="28"/>
          <w:szCs w:val="28"/>
        </w:rPr>
        <w:t xml:space="preserve">Богородского городского округа </w:t>
      </w:r>
      <w:r w:rsidR="00DA18FC" w:rsidRPr="00DA18FC">
        <w:rPr>
          <w:b/>
          <w:sz w:val="28"/>
          <w:szCs w:val="28"/>
        </w:rPr>
        <w:t>30.08.2021 № 2828</w:t>
      </w:r>
      <w:r w:rsidR="004B2631">
        <w:rPr>
          <w:b/>
          <w:sz w:val="28"/>
          <w:szCs w:val="28"/>
        </w:rPr>
        <w:t xml:space="preserve"> </w:t>
      </w:r>
      <w:r w:rsidR="003F605B" w:rsidRPr="00A84DD8">
        <w:rPr>
          <w:b/>
          <w:sz w:val="28"/>
          <w:szCs w:val="28"/>
        </w:rPr>
        <w:t>«</w:t>
      </w:r>
      <w:r w:rsidR="00DA18FC" w:rsidRPr="00DA18FC">
        <w:rPr>
          <w:b/>
          <w:sz w:val="28"/>
          <w:szCs w:val="28"/>
        </w:rPr>
        <w:t>О внесении изменений в постановление администрации Богородского городского округа от 31.05.2021 № 1601 «Об утверждении административного регламента предоставления муниципальной услуги «Согласование установки средства размещения информации на территории Богородского городского округа Московской области»</w:t>
      </w:r>
      <w:r w:rsidR="00A84DD8" w:rsidRPr="00A84DD8">
        <w:rPr>
          <w:b/>
          <w:sz w:val="28"/>
          <w:szCs w:val="28"/>
        </w:rPr>
        <w:t>»</w:t>
      </w:r>
    </w:p>
    <w:p w14:paraId="47891B15" w14:textId="77777777" w:rsidR="00966650" w:rsidRPr="00966650" w:rsidRDefault="00966650" w:rsidP="006B4279">
      <w:pPr>
        <w:textAlignment w:val="baseline"/>
        <w:rPr>
          <w:b/>
          <w:sz w:val="28"/>
          <w:szCs w:val="28"/>
        </w:rPr>
      </w:pPr>
    </w:p>
    <w:p w14:paraId="71E0DA14" w14:textId="64188727" w:rsidR="00625E82" w:rsidRPr="00E732F0" w:rsidRDefault="00625E82" w:rsidP="00E732F0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6650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966650">
        <w:rPr>
          <w:sz w:val="28"/>
          <w:szCs w:val="28"/>
        </w:rPr>
        <w:t>прикреплённого</w:t>
      </w:r>
      <w:r w:rsidRPr="00966650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966650">
        <w:rPr>
          <w:b/>
          <w:sz w:val="28"/>
          <w:szCs w:val="28"/>
        </w:rPr>
        <w:t>oserp@yandex.ru</w:t>
      </w:r>
      <w:r w:rsidR="00B41FBE" w:rsidRPr="00966650">
        <w:rPr>
          <w:sz w:val="28"/>
          <w:szCs w:val="28"/>
        </w:rPr>
        <w:t xml:space="preserve"> </w:t>
      </w:r>
      <w:r w:rsidR="00342E73" w:rsidRPr="00966650">
        <w:rPr>
          <w:sz w:val="28"/>
          <w:szCs w:val="28"/>
        </w:rPr>
        <w:t xml:space="preserve">либо путем заполнения опросного листа </w:t>
      </w:r>
      <w:r w:rsidR="00E732F0" w:rsidRPr="00920365">
        <w:rPr>
          <w:color w:val="000000"/>
          <w:sz w:val="28"/>
          <w:szCs w:val="28"/>
        </w:rPr>
        <w:t xml:space="preserve">на </w:t>
      </w:r>
      <w:r w:rsidR="00E732F0" w:rsidRPr="00E732F0">
        <w:rPr>
          <w:sz w:val="28"/>
          <w:szCs w:val="28"/>
        </w:rPr>
        <w:t>сайте bogorodsky-okrug.ru, раздел «Деятельность», подраздел «Поддержка бизнеса», «Оценка регулирующего воздействия»</w:t>
      </w:r>
      <w:r w:rsidR="00E732F0" w:rsidRPr="00E732F0">
        <w:rPr>
          <w:sz w:val="28"/>
          <w:szCs w:val="28"/>
        </w:rPr>
        <w:t xml:space="preserve"> </w:t>
      </w:r>
      <w:r w:rsidR="004D3A6A" w:rsidRPr="00E732F0">
        <w:rPr>
          <w:sz w:val="28"/>
          <w:szCs w:val="28"/>
        </w:rPr>
        <w:t xml:space="preserve">не позднее </w:t>
      </w:r>
      <w:r w:rsidR="00E732F0">
        <w:rPr>
          <w:sz w:val="28"/>
          <w:szCs w:val="28"/>
        </w:rPr>
        <w:t>04</w:t>
      </w:r>
      <w:r w:rsidR="003F605B" w:rsidRPr="00E732F0">
        <w:rPr>
          <w:sz w:val="28"/>
          <w:szCs w:val="28"/>
        </w:rPr>
        <w:t>.</w:t>
      </w:r>
      <w:r w:rsidR="00E732F0">
        <w:rPr>
          <w:sz w:val="28"/>
          <w:szCs w:val="28"/>
        </w:rPr>
        <w:t>10</w:t>
      </w:r>
      <w:r w:rsidR="003F605B" w:rsidRPr="00E732F0">
        <w:rPr>
          <w:sz w:val="28"/>
          <w:szCs w:val="28"/>
        </w:rPr>
        <w:t>.20</w:t>
      </w:r>
      <w:r w:rsidR="00A84DD8" w:rsidRPr="00E732F0">
        <w:rPr>
          <w:sz w:val="28"/>
          <w:szCs w:val="28"/>
        </w:rPr>
        <w:t>2</w:t>
      </w:r>
      <w:r w:rsidR="00E732F0">
        <w:rPr>
          <w:sz w:val="28"/>
          <w:szCs w:val="28"/>
        </w:rPr>
        <w:t>2</w:t>
      </w:r>
      <w:r w:rsidR="004D3A6A" w:rsidRPr="00E732F0">
        <w:rPr>
          <w:sz w:val="28"/>
          <w:szCs w:val="28"/>
        </w:rPr>
        <w:t>.</w:t>
      </w:r>
    </w:p>
    <w:p w14:paraId="5A1B2F38" w14:textId="77777777" w:rsidR="00625E82" w:rsidRPr="00966650" w:rsidRDefault="00625E82" w:rsidP="001478A9">
      <w:pPr>
        <w:ind w:firstLine="708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342E73" w:rsidRPr="00966650">
        <w:rPr>
          <w:sz w:val="28"/>
          <w:szCs w:val="28"/>
        </w:rPr>
        <w:t>отдел стратегического планирования и инвестиционной деятельности администрации Ногинского муниципального района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lastRenderedPageBreak/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</w:t>
            </w:r>
            <w:r w:rsidRPr="00966650">
              <w:rPr>
                <w:sz w:val="28"/>
                <w:szCs w:val="28"/>
              </w:rPr>
              <w:lastRenderedPageBreak/>
              <w:t>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3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0F4"/>
    <w:rsid w:val="001244C1"/>
    <w:rsid w:val="001478A9"/>
    <w:rsid w:val="001B00EC"/>
    <w:rsid w:val="00342E73"/>
    <w:rsid w:val="003652E8"/>
    <w:rsid w:val="003F605B"/>
    <w:rsid w:val="004305F2"/>
    <w:rsid w:val="004B2631"/>
    <w:rsid w:val="004D3A6A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966650"/>
    <w:rsid w:val="00A342A4"/>
    <w:rsid w:val="00A5518E"/>
    <w:rsid w:val="00A84DD8"/>
    <w:rsid w:val="00B41FBE"/>
    <w:rsid w:val="00B670F4"/>
    <w:rsid w:val="00B703DF"/>
    <w:rsid w:val="00C61743"/>
    <w:rsid w:val="00CD3DD6"/>
    <w:rsid w:val="00D96FAC"/>
    <w:rsid w:val="00DA18FC"/>
    <w:rsid w:val="00E16199"/>
    <w:rsid w:val="00E25724"/>
    <w:rsid w:val="00E732F0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E732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Олеся Александровна Грошева</cp:lastModifiedBy>
  <cp:revision>31</cp:revision>
  <dcterms:created xsi:type="dcterms:W3CDTF">2016-09-26T11:50:00Z</dcterms:created>
  <dcterms:modified xsi:type="dcterms:W3CDTF">2022-12-07T13:25:00Z</dcterms:modified>
</cp:coreProperties>
</file>