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4FBD1CB0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 xml:space="preserve">администрации Богородского городского округа </w:t>
      </w:r>
      <w:r w:rsidR="000066D4" w:rsidRPr="007652D1">
        <w:rPr>
          <w:b/>
          <w:bCs/>
          <w:color w:val="000000"/>
          <w:sz w:val="28"/>
          <w:szCs w:val="28"/>
        </w:rPr>
        <w:t xml:space="preserve">от </w:t>
      </w:r>
      <w:r w:rsidR="00B4669E" w:rsidRPr="00C74E8E">
        <w:rPr>
          <w:b/>
          <w:bCs/>
          <w:sz w:val="28"/>
          <w:szCs w:val="28"/>
        </w:rPr>
        <w:t xml:space="preserve">22.06.2022 № 2214 </w:t>
      </w:r>
      <w:r w:rsidR="00B4669E" w:rsidRPr="0094060C">
        <w:rPr>
          <w:b/>
          <w:bCs/>
          <w:sz w:val="28"/>
          <w:szCs w:val="28"/>
        </w:rPr>
        <w:t>«</w:t>
      </w:r>
      <w:r w:rsidR="00B4669E" w:rsidRPr="00C74E8E">
        <w:rPr>
          <w:b/>
          <w:bCs/>
          <w:color w:val="212121"/>
          <w:sz w:val="28"/>
          <w:szCs w:val="28"/>
        </w:rPr>
        <w:t>Об утверждении Порядка предоставления субсидии юридическим лицам, осуществляющим управление многоквартирными домами на территории Богородского городского округа, на финансовое обеспечение затрат, связанных с заменой оконных блоков на энергосберегающие стеклопакеты в подъездах многоквартирных домов</w:t>
      </w:r>
      <w:r w:rsidR="00B4669E" w:rsidRPr="0094060C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67B6D895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B4669E">
        <w:rPr>
          <w:b/>
          <w:bCs/>
          <w:sz w:val="28"/>
          <w:szCs w:val="28"/>
        </w:rPr>
        <w:t>26</w:t>
      </w:r>
      <w:bookmarkStart w:id="0" w:name="_GoBack"/>
      <w:bookmarkEnd w:id="0"/>
      <w:r w:rsidR="003F605B" w:rsidRPr="004D4207">
        <w:rPr>
          <w:b/>
          <w:bCs/>
          <w:sz w:val="28"/>
          <w:szCs w:val="28"/>
        </w:rPr>
        <w:t>.</w:t>
      </w:r>
      <w:r w:rsidR="00BE46B2">
        <w:rPr>
          <w:b/>
          <w:bCs/>
          <w:sz w:val="28"/>
          <w:szCs w:val="28"/>
        </w:rPr>
        <w:t>0</w:t>
      </w:r>
      <w:r w:rsidR="001B71B3">
        <w:rPr>
          <w:b/>
          <w:bCs/>
          <w:sz w:val="28"/>
          <w:szCs w:val="28"/>
        </w:rPr>
        <w:t>7</w:t>
      </w:r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BE46B2">
        <w:rPr>
          <w:b/>
          <w:bCs/>
          <w:sz w:val="28"/>
          <w:szCs w:val="28"/>
        </w:rPr>
        <w:t>3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1B71B3"/>
    <w:rsid w:val="00342E73"/>
    <w:rsid w:val="003652E8"/>
    <w:rsid w:val="003F605B"/>
    <w:rsid w:val="004305F2"/>
    <w:rsid w:val="004B2631"/>
    <w:rsid w:val="004D3A6A"/>
    <w:rsid w:val="004D420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84DD8"/>
    <w:rsid w:val="00B41FBE"/>
    <w:rsid w:val="00B4669E"/>
    <w:rsid w:val="00B670F4"/>
    <w:rsid w:val="00B703DF"/>
    <w:rsid w:val="00BE46B2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35</cp:revision>
  <dcterms:created xsi:type="dcterms:W3CDTF">2016-09-26T11:50:00Z</dcterms:created>
  <dcterms:modified xsi:type="dcterms:W3CDTF">2024-01-12T12:09:00Z</dcterms:modified>
</cp:coreProperties>
</file>