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45021E8C" w:rsidR="000066D4" w:rsidRPr="006638FD" w:rsidRDefault="001244C1" w:rsidP="000066D4">
      <w:pPr>
        <w:jc w:val="center"/>
        <w:rPr>
          <w:b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0066D4">
        <w:rPr>
          <w:b/>
          <w:color w:val="000000"/>
          <w:sz w:val="28"/>
          <w:szCs w:val="28"/>
        </w:rPr>
        <w:t xml:space="preserve">от </w:t>
      </w:r>
      <w:r w:rsidR="000066D4">
        <w:rPr>
          <w:b/>
          <w:sz w:val="28"/>
          <w:szCs w:val="28"/>
        </w:rPr>
        <w:t>07.07.2021</w:t>
      </w:r>
      <w:r w:rsidR="000066D4" w:rsidRPr="006638FD">
        <w:rPr>
          <w:b/>
          <w:sz w:val="28"/>
          <w:szCs w:val="28"/>
        </w:rPr>
        <w:t xml:space="preserve"> № </w:t>
      </w:r>
      <w:r w:rsidR="000066D4">
        <w:rPr>
          <w:b/>
          <w:sz w:val="28"/>
          <w:szCs w:val="28"/>
        </w:rPr>
        <w:t>2121</w:t>
      </w:r>
      <w:r w:rsidR="000066D4" w:rsidRPr="006638FD">
        <w:rPr>
          <w:b/>
          <w:sz w:val="28"/>
          <w:szCs w:val="28"/>
        </w:rPr>
        <w:t xml:space="preserve"> «</w:t>
      </w:r>
      <w:r w:rsidR="000066D4">
        <w:rPr>
          <w:b/>
          <w:sz w:val="28"/>
          <w:szCs w:val="28"/>
        </w:rPr>
        <w:t>О мерах по обеспечению безопасности и улучшению организации дорожного движения на улично-дорожной сети местного значения Богородского городского округа</w:t>
      </w:r>
      <w:r w:rsidR="000066D4" w:rsidRPr="006638FD">
        <w:rPr>
          <w:b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49F488B6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</w:t>
      </w:r>
      <w:r w:rsidR="000066D4" w:rsidRPr="000066D4">
        <w:rPr>
          <w:sz w:val="28"/>
          <w:szCs w:val="28"/>
        </w:rPr>
        <w:t>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0066D4" w:rsidRPr="004D4207">
        <w:rPr>
          <w:b/>
          <w:bCs/>
          <w:sz w:val="28"/>
          <w:szCs w:val="28"/>
        </w:rPr>
        <w:t>16</w:t>
      </w:r>
      <w:r w:rsidR="003F605B" w:rsidRPr="004D4207">
        <w:rPr>
          <w:b/>
          <w:bCs/>
          <w:sz w:val="28"/>
          <w:szCs w:val="28"/>
        </w:rPr>
        <w:t>.0</w:t>
      </w:r>
      <w:r w:rsidR="000066D4" w:rsidRPr="004D4207">
        <w:rPr>
          <w:b/>
          <w:bCs/>
          <w:sz w:val="28"/>
          <w:szCs w:val="28"/>
        </w:rPr>
        <w:t>8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0066D4" w:rsidRPr="004D4207">
        <w:rPr>
          <w:b/>
          <w:bCs/>
          <w:sz w:val="28"/>
          <w:szCs w:val="28"/>
        </w:rPr>
        <w:t>2</w:t>
      </w:r>
      <w:r w:rsidR="004D3A6A" w:rsidRPr="000066D4">
        <w:rPr>
          <w:sz w:val="28"/>
          <w:szCs w:val="28"/>
        </w:rPr>
        <w:t>.</w:t>
      </w:r>
    </w:p>
    <w:p w14:paraId="5A1B2F38" w14:textId="77777777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</w:t>
            </w:r>
            <w:r w:rsidRPr="00966650">
              <w:rPr>
                <w:sz w:val="28"/>
                <w:szCs w:val="28"/>
              </w:rPr>
              <w:lastRenderedPageBreak/>
              <w:t>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</w:t>
            </w:r>
            <w:proofErr w:type="gramStart"/>
            <w:r w:rsidRPr="00966650">
              <w:rPr>
                <w:sz w:val="28"/>
                <w:szCs w:val="28"/>
              </w:rPr>
              <w:t>издержки, в случае, если</w:t>
            </w:r>
            <w:proofErr w:type="gramEnd"/>
            <w:r w:rsidRPr="00966650">
              <w:rPr>
                <w:sz w:val="28"/>
                <w:szCs w:val="28"/>
              </w:rPr>
              <w:t xml:space="preserve">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17316">
    <w:abstractNumId w:val="0"/>
  </w:num>
  <w:num w:numId="2" w16cid:durableId="184551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F4"/>
    <w:rsid w:val="000066D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4D4207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A84DD8"/>
    <w:rsid w:val="00B41FBE"/>
    <w:rsid w:val="00B670F4"/>
    <w:rsid w:val="00B703DF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Олеся Александровна Грошева</cp:lastModifiedBy>
  <cp:revision>31</cp:revision>
  <dcterms:created xsi:type="dcterms:W3CDTF">2016-09-26T11:50:00Z</dcterms:created>
  <dcterms:modified xsi:type="dcterms:W3CDTF">2022-12-07T12:15:00Z</dcterms:modified>
</cp:coreProperties>
</file>